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267970</wp:posOffset>
            </wp:positionH>
            <wp:positionV relativeFrom="page">
              <wp:posOffset>277495</wp:posOffset>
            </wp:positionV>
            <wp:extent cx="70199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9925" cy="698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297815</wp:posOffset>
            </wp:positionV>
            <wp:extent cx="70199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9925" cy="698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ind w:left="506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50800</wp:posOffset>
            </wp:positionV>
            <wp:extent cx="22167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78"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26035</wp:posOffset>
            </wp:positionV>
            <wp:extent cx="22167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108" w:lineRule="exact"/>
        <w:rPr>
          <w:sz w:val="24"/>
          <w:szCs w:val="24"/>
          <w:color w:val="auto"/>
        </w:rPr>
      </w:pPr>
    </w:p>
    <w:p>
      <w:pPr>
        <w:ind w:left="620" w:hanging="601"/>
        <w:spacing w:after="0"/>
        <w:tabs>
          <w:tab w:leader="none" w:pos="6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2022</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7" w:lineRule="exact"/>
        <w:rPr>
          <w:sz w:val="24"/>
          <w:szCs w:val="24"/>
          <w:color w:val="auto"/>
        </w:rPr>
      </w:pPr>
    </w:p>
    <w:p>
      <w:pPr>
        <w:ind w:left="620" w:hanging="601"/>
        <w:spacing w:after="0"/>
        <w:tabs>
          <w:tab w:leader="none" w:pos="6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85" w:lineRule="exact"/>
        <w:rPr>
          <w:sz w:val="24"/>
          <w:szCs w:val="24"/>
          <w:color w:val="auto"/>
        </w:rPr>
      </w:pPr>
    </w:p>
    <w:p>
      <w:pPr>
        <w:ind w:left="3980"/>
        <w:spacing w:after="0"/>
        <w:tabs>
          <w:tab w:leader="none" w:pos="64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3597910</wp:posOffset>
            </wp:positionH>
            <wp:positionV relativeFrom="paragraph">
              <wp:posOffset>-5080</wp:posOffset>
            </wp:positionV>
            <wp:extent cx="10375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698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0-9286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47625</wp:posOffset>
            </wp:positionV>
            <wp:extent cx="22167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6785" cy="698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121920</wp:posOffset>
            </wp:positionV>
            <wp:extent cx="619760" cy="424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9760" cy="424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88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COCA-COLA CONSOLIDATED, INC.</w:t>
            </w:r>
          </w:p>
        </w:tc>
        <w:tc>
          <w:tcPr>
            <w:tcW w:w="7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7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540" w:type="dxa"/>
            <w:vAlign w:val="bottom"/>
            <w:vMerge w:val="restart"/>
          </w:tcPr>
          <w:p>
            <w:pPr>
              <w:jc w:val="center"/>
              <w:ind w:right="54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840" w:type="dxa"/>
            <w:vAlign w:val="bottom"/>
            <w:gridSpan w:val="2"/>
            <w:vMerge w:val="restart"/>
          </w:tcPr>
          <w:p>
            <w:pPr>
              <w:jc w:val="right"/>
              <w:ind w:right="1403"/>
              <w:spacing w:after="0"/>
              <w:rPr>
                <w:sz w:val="20"/>
                <w:szCs w:val="20"/>
                <w:color w:val="auto"/>
              </w:rPr>
            </w:pPr>
            <w:r>
              <w:rPr>
                <w:rFonts w:ascii="Times New Roman" w:cs="Times New Roman" w:eastAsia="Times New Roman" w:hAnsi="Times New Roman"/>
                <w:sz w:val="11"/>
                <w:szCs w:val="11"/>
                <w:b w:val="1"/>
                <w:bCs w:val="1"/>
                <w:color w:val="auto"/>
              </w:rPr>
              <w:t>56-0950585</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10"/>
                <w:szCs w:val="10"/>
                <w:color w:val="auto"/>
              </w:rPr>
            </w:pPr>
          </w:p>
        </w:tc>
        <w:tc>
          <w:tcPr>
            <w:tcW w:w="2380" w:type="dxa"/>
            <w:vAlign w:val="bottom"/>
            <w:gridSpan w:val="2"/>
          </w:tcPr>
          <w:p>
            <w:pPr>
              <w:jc w:val="center"/>
              <w:ind w:left="183"/>
              <w:spacing w:after="0" w:line="12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40" w:type="dxa"/>
            <w:vAlign w:val="bottom"/>
            <w:gridSpan w:val="2"/>
          </w:tcPr>
          <w:p>
            <w:pPr>
              <w:jc w:val="center"/>
              <w:ind w:right="603"/>
              <w:spacing w:after="0" w:line="125"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38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40" w:type="dxa"/>
            <w:vAlign w:val="bottom"/>
            <w:gridSpan w:val="2"/>
          </w:tcPr>
          <w:p>
            <w:pPr>
              <w:jc w:val="center"/>
              <w:ind w:right="583"/>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38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4100 Coca-Cola Plaza</w:t>
            </w: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40" w:type="dxa"/>
            <w:vAlign w:val="bottom"/>
            <w:gridSpan w:val="2"/>
            <w:vMerge w:val="restart"/>
          </w:tcPr>
          <w:p>
            <w:pPr>
              <w:jc w:val="right"/>
              <w:ind w:right="1543"/>
              <w:spacing w:after="0"/>
              <w:rPr>
                <w:sz w:val="20"/>
                <w:szCs w:val="20"/>
                <w:color w:val="auto"/>
              </w:rPr>
            </w:pPr>
            <w:r>
              <w:rPr>
                <w:rFonts w:ascii="Times New Roman" w:cs="Times New Roman" w:eastAsia="Times New Roman" w:hAnsi="Times New Roman"/>
                <w:sz w:val="11"/>
                <w:szCs w:val="11"/>
                <w:b w:val="1"/>
                <w:bCs w:val="1"/>
                <w:color w:val="auto"/>
              </w:rPr>
              <w:t>28211</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jc w:val="center"/>
              <w:ind w:right="543"/>
              <w:spacing w:after="0"/>
              <w:rPr>
                <w:sz w:val="20"/>
                <w:szCs w:val="20"/>
                <w:color w:val="auto"/>
              </w:rPr>
            </w:pPr>
            <w:r>
              <w:rPr>
                <w:rFonts w:ascii="Times New Roman" w:cs="Times New Roman" w:eastAsia="Times New Roman" w:hAnsi="Times New Roman"/>
                <w:sz w:val="11"/>
                <w:szCs w:val="11"/>
                <w:b w:val="1"/>
                <w:bCs w:val="1"/>
                <w:color w:val="auto"/>
              </w:rPr>
              <w:t>Charlotte, NC</w:t>
            </w: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00" w:type="dxa"/>
            <w:vAlign w:val="bottom"/>
          </w:tcPr>
          <w:p>
            <w:pPr>
              <w:spacing w:after="0"/>
              <w:rPr>
                <w:sz w:val="13"/>
                <w:szCs w:val="13"/>
                <w:color w:val="auto"/>
              </w:rPr>
            </w:pPr>
          </w:p>
        </w:tc>
        <w:tc>
          <w:tcPr>
            <w:tcW w:w="238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00" w:type="dxa"/>
            <w:vAlign w:val="bottom"/>
          </w:tcPr>
          <w:p>
            <w:pPr>
              <w:jc w:val="center"/>
              <w:ind w:right="1323"/>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(980) 392-8298</w:t>
            </w:r>
          </w:p>
        </w:tc>
        <w:tc>
          <w:tcPr>
            <w:tcW w:w="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7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0" w:type="dxa"/>
            <w:vAlign w:val="bottom"/>
          </w:tcPr>
          <w:p>
            <w:pPr>
              <w:spacing w:after="0"/>
              <w:rPr>
                <w:sz w:val="12"/>
                <w:szCs w:val="12"/>
                <w:color w:val="auto"/>
              </w:rPr>
            </w:pPr>
          </w:p>
        </w:tc>
        <w:tc>
          <w:tcPr>
            <w:tcW w:w="2380" w:type="dxa"/>
            <w:vAlign w:val="bottom"/>
            <w:gridSpan w:val="2"/>
          </w:tcPr>
          <w:p>
            <w:pPr>
              <w:jc w:val="center"/>
              <w:ind w:right="1483"/>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220" w:type="dxa"/>
            <w:vAlign w:val="bottom"/>
          </w:tcPr>
          <w:p>
            <w:pPr>
              <w:spacing w:after="0"/>
              <w:rPr>
                <w:sz w:val="12"/>
                <w:szCs w:val="12"/>
                <w:color w:val="auto"/>
              </w:rPr>
            </w:pPr>
          </w:p>
        </w:tc>
        <w:tc>
          <w:tcPr>
            <w:tcW w:w="2300" w:type="dxa"/>
            <w:vAlign w:val="bottom"/>
            <w:gridSpan w:val="2"/>
          </w:tcPr>
          <w:p>
            <w:pPr>
              <w:jc w:val="center"/>
              <w:ind w:right="140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2840" w:type="dxa"/>
            <w:vAlign w:val="bottom"/>
            <w:gridSpan w:val="2"/>
          </w:tcPr>
          <w:p>
            <w:pPr>
              <w:jc w:val="center"/>
              <w:ind w:left="68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80" w:type="dxa"/>
            <w:vAlign w:val="bottom"/>
            <w:gridSpan w:val="3"/>
          </w:tcPr>
          <w:p>
            <w:pPr>
              <w:jc w:val="center"/>
              <w:ind w:right="903"/>
              <w:spacing w:after="0"/>
              <w:rPr>
                <w:sz w:val="20"/>
                <w:szCs w:val="20"/>
                <w:color w:val="auto"/>
              </w:rPr>
            </w:pPr>
            <w:r>
              <w:rPr>
                <w:rFonts w:ascii="Times New Roman" w:cs="Times New Roman" w:eastAsia="Times New Roman" w:hAnsi="Times New Roman"/>
                <w:sz w:val="11"/>
                <w:szCs w:val="11"/>
                <w:b w:val="1"/>
                <w:bCs w:val="1"/>
                <w:color w:val="auto"/>
              </w:rPr>
              <w:t>Common Stock, par value $1.00 per share</w:t>
            </w:r>
          </w:p>
        </w:tc>
        <w:tc>
          <w:tcPr>
            <w:tcW w:w="1220" w:type="dxa"/>
            <w:vAlign w:val="bottom"/>
          </w:tcPr>
          <w:p>
            <w:pPr>
              <w:spacing w:after="0"/>
              <w:rPr>
                <w:sz w:val="14"/>
                <w:szCs w:val="14"/>
                <w:color w:val="auto"/>
              </w:rPr>
            </w:pPr>
          </w:p>
        </w:tc>
        <w:tc>
          <w:tcPr>
            <w:tcW w:w="2300" w:type="dxa"/>
            <w:vAlign w:val="bottom"/>
            <w:gridSpan w:val="2"/>
          </w:tcPr>
          <w:p>
            <w:pPr>
              <w:jc w:val="center"/>
              <w:ind w:right="1380"/>
              <w:spacing w:after="0"/>
              <w:rPr>
                <w:sz w:val="20"/>
                <w:szCs w:val="20"/>
                <w:color w:val="auto"/>
              </w:rPr>
            </w:pPr>
            <w:r>
              <w:rPr>
                <w:rFonts w:ascii="Times New Roman" w:cs="Times New Roman" w:eastAsia="Times New Roman" w:hAnsi="Times New Roman"/>
                <w:sz w:val="11"/>
                <w:szCs w:val="11"/>
                <w:b w:val="1"/>
                <w:bCs w:val="1"/>
                <w:color w:val="auto"/>
                <w:w w:val="98"/>
              </w:rPr>
              <w:t>COKE</w:t>
            </w:r>
          </w:p>
        </w:tc>
        <w:tc>
          <w:tcPr>
            <w:tcW w:w="7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The Nasdaq Global Select Market</w:t>
            </w:r>
          </w:p>
        </w:tc>
        <w:tc>
          <w:tcPr>
            <w:tcW w:w="0" w:type="dxa"/>
            <w:vAlign w:val="bottom"/>
          </w:tcPr>
          <w:p>
            <w:pPr>
              <w:spacing w:after="0"/>
              <w:rPr>
                <w:sz w:val="1"/>
                <w:szCs w:val="1"/>
                <w:color w:val="auto"/>
              </w:rPr>
            </w:pPr>
          </w:p>
        </w:tc>
      </w:tr>
      <w:tr>
        <w:trPr>
          <w:trHeight w:val="159"/>
        </w:trPr>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 None</w:t>
            </w:r>
          </w:p>
        </w:tc>
        <w:tc>
          <w:tcPr>
            <w:tcW w:w="7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ind w:right="5060"/>
        <w:spacing w:after="0" w:line="196"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p>
    <w:p>
      <w:pPr>
        <w:ind w:right="160"/>
        <w:spacing w:after="0" w:line="15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60"/>
        <w:spacing w:after="0" w:line="253"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480" w:type="dxa"/>
            <w:vAlign w:val="bottom"/>
          </w:tcPr>
          <w:p>
            <w:pPr>
              <w:ind w:left="1840"/>
              <w:spacing w:after="0" w:line="111" w:lineRule="exact"/>
              <w:rPr>
                <w:sz w:val="20"/>
                <w:szCs w:val="20"/>
                <w:color w:val="auto"/>
              </w:rPr>
            </w:pPr>
            <w:r>
              <w:rPr>
                <w:rFonts w:ascii="MS PGothic" w:cs="MS PGothic" w:eastAsia="MS PGothic" w:hAnsi="MS PGothic"/>
                <w:sz w:val="11"/>
                <w:szCs w:val="11"/>
                <w:color w:val="auto"/>
              </w:rPr>
              <w:t>☒</w:t>
            </w:r>
          </w:p>
        </w:tc>
        <w:tc>
          <w:tcPr>
            <w:tcW w:w="35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Accelerated filer</w:t>
            </w:r>
          </w:p>
        </w:tc>
        <w:tc>
          <w:tcPr>
            <w:tcW w:w="1840" w:type="dxa"/>
            <w:vAlign w:val="bottom"/>
          </w:tcPr>
          <w:p>
            <w:pPr>
              <w:ind w:left="1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480" w:type="dxa"/>
            <w:vAlign w:val="bottom"/>
          </w:tcPr>
          <w:p>
            <w:pPr>
              <w:ind w:left="1840"/>
              <w:spacing w:after="0" w:line="111" w:lineRule="exact"/>
              <w:rPr>
                <w:sz w:val="20"/>
                <w:szCs w:val="20"/>
                <w:color w:val="auto"/>
              </w:rPr>
            </w:pPr>
            <w:r>
              <w:rPr>
                <w:rFonts w:ascii="MS PGothic" w:cs="MS PGothic" w:eastAsia="MS PGothic" w:hAnsi="MS PGothic"/>
                <w:sz w:val="11"/>
                <w:szCs w:val="11"/>
                <w:color w:val="auto"/>
              </w:rPr>
              <w:t>☐</w:t>
            </w:r>
          </w:p>
        </w:tc>
        <w:tc>
          <w:tcPr>
            <w:tcW w:w="35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840" w:type="dxa"/>
            <w:vAlign w:val="bottom"/>
          </w:tcPr>
          <w:p>
            <w:pPr>
              <w:ind w:left="1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7"/>
        </w:trPr>
        <w:tc>
          <w:tcPr>
            <w:tcW w:w="28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5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Emerging growth company</w:t>
            </w:r>
          </w:p>
        </w:tc>
        <w:tc>
          <w:tcPr>
            <w:tcW w:w="1840" w:type="dxa"/>
            <w:vAlign w:val="bottom"/>
          </w:tcPr>
          <w:p>
            <w:pPr>
              <w:ind w:left="17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4" w:lineRule="exact"/>
        <w:rPr>
          <w:sz w:val="24"/>
          <w:szCs w:val="24"/>
          <w:color w:val="auto"/>
        </w:rPr>
      </w:pPr>
    </w:p>
    <w:p>
      <w:pPr>
        <w:ind w:right="80"/>
        <w:spacing w:after="0" w:line="165"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920"/>
        <w:spacing w:after="0" w:line="16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8" w:lineRule="exact"/>
        <w:rPr>
          <w:sz w:val="24"/>
          <w:szCs w:val="24"/>
          <w:color w:val="auto"/>
        </w:rPr>
      </w:pPr>
    </w:p>
    <w:p>
      <w:pPr>
        <w:ind w:right="140"/>
        <w:spacing w:after="0" w:line="165"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514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p>
    <w:p>
      <w:pPr>
        <w:ind w:right="100"/>
        <w:spacing w:after="0" w:line="277" w:lineRule="auto"/>
        <w:rPr>
          <w:sz w:val="20"/>
          <w:szCs w:val="20"/>
          <w:color w:val="auto"/>
        </w:rPr>
      </w:pPr>
      <w:r>
        <w:rPr>
          <w:rFonts w:ascii="Times New Roman" w:cs="Times New Roman" w:eastAsia="Times New Roman" w:hAnsi="Times New Roman"/>
          <w:sz w:val="11"/>
          <w:szCs w:val="11"/>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p>
      <w:pPr>
        <w:spacing w:after="0" w:line="1" w:lineRule="exact"/>
        <w:rPr>
          <w:sz w:val="24"/>
          <w:szCs w:val="24"/>
          <w:color w:val="auto"/>
        </w:rPr>
      </w:pPr>
    </w:p>
    <w:tbl>
      <w:tblPr>
        <w:tblLayout w:type="fixed"/>
        <w:tblInd w:w="118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Class</w:t>
            </w:r>
          </w:p>
        </w:tc>
        <w:tc>
          <w:tcPr>
            <w:tcW w:w="1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7"/>
              </w:rPr>
              <w:t>Market Value as of July 1, 2022</w:t>
            </w: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137"/>
        </w:trPr>
        <w:tc>
          <w:tcPr>
            <w:tcW w:w="61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Common Stock, par value $l.00 per share</w:t>
            </w:r>
          </w:p>
        </w:tc>
        <w:tc>
          <w:tcPr>
            <w:tcW w:w="134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$3,385,395,472</w:t>
            </w:r>
          </w:p>
        </w:tc>
      </w:tr>
      <w:tr>
        <w:trPr>
          <w:trHeight w:val="138"/>
        </w:trPr>
        <w:tc>
          <w:tcPr>
            <w:tcW w:w="61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Class B Common Stock, par value $l.00 per share</w:t>
            </w:r>
          </w:p>
        </w:tc>
        <w:tc>
          <w:tcPr>
            <w:tcW w:w="1340" w:type="dxa"/>
            <w:vAlign w:val="bottom"/>
          </w:tcPr>
          <w:p>
            <w:pPr>
              <w:jc w:val="right"/>
              <w:ind w:right="591"/>
              <w:spacing w:after="0"/>
              <w:rPr>
                <w:sz w:val="20"/>
                <w:szCs w:val="20"/>
                <w:color w:val="auto"/>
              </w:rPr>
            </w:pPr>
            <w:r>
              <w:rPr>
                <w:rFonts w:ascii="Times New Roman" w:cs="Times New Roman" w:eastAsia="Times New Roman" w:hAnsi="Times New Roman"/>
                <w:sz w:val="10"/>
                <w:szCs w:val="10"/>
                <w:color w:val="auto"/>
              </w:rPr>
              <w:t>*</w:t>
            </w:r>
          </w:p>
        </w:tc>
      </w:tr>
    </w:tbl>
    <w:p>
      <w:pPr>
        <w:spacing w:after="0" w:line="59" w:lineRule="exact"/>
        <w:rPr>
          <w:sz w:val="24"/>
          <w:szCs w:val="24"/>
          <w:color w:val="auto"/>
        </w:rPr>
      </w:pPr>
    </w:p>
    <w:p>
      <w:pPr>
        <w:ind w:right="80"/>
        <w:spacing w:after="0" w:line="271" w:lineRule="auto"/>
        <w:rPr>
          <w:sz w:val="20"/>
          <w:szCs w:val="20"/>
          <w:color w:val="auto"/>
        </w:rPr>
      </w:pPr>
      <w:r>
        <w:rPr>
          <w:rFonts w:ascii="Times New Roman" w:cs="Times New Roman" w:eastAsia="Times New Roman" w:hAnsi="Times New Roman"/>
          <w:sz w:val="11"/>
          <w:szCs w:val="11"/>
          <w:color w:val="auto"/>
        </w:rPr>
        <w:t>*No market exists for the Class B Common Stock, which is neither registered under Section 12 of the Act nor subject to Section 15(d) of the Act. The Class B Common Stock is convertible into Common Stock on a share-for-share basis at any time at the option of the holder.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the number of shares outstanding of each of the registrant’s classes of common stock, as of the latest practicable date.</w:t>
      </w:r>
    </w:p>
    <w:p>
      <w:pPr>
        <w:spacing w:after="0" w:line="41" w:lineRule="exact"/>
        <w:rPr>
          <w:sz w:val="24"/>
          <w:szCs w:val="24"/>
          <w:color w:val="auto"/>
        </w:rPr>
      </w:pPr>
    </w:p>
    <w:tbl>
      <w:tblPr>
        <w:tblLayout w:type="fixed"/>
        <w:tblInd w:w="118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Class</w:t>
            </w:r>
          </w:p>
        </w:tc>
        <w:tc>
          <w:tcPr>
            <w:tcW w:w="1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Outstanding as of January 27, 2023</w:t>
            </w: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137"/>
        </w:trPr>
        <w:tc>
          <w:tcPr>
            <w:tcW w:w="60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Common Stock, par value $1.00 per share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8,368,993</w:t>
            </w:r>
          </w:p>
        </w:tc>
      </w:tr>
      <w:tr>
        <w:trPr>
          <w:trHeight w:val="138"/>
        </w:trPr>
        <w:tc>
          <w:tcPr>
            <w:tcW w:w="60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Class B Common Stock, par value $1.00 per share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1,004,696</w:t>
            </w:r>
          </w:p>
        </w:tc>
      </w:tr>
    </w:tbl>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u w:val="single" w:color="auto"/>
          <w:color w:val="auto"/>
        </w:rPr>
        <w:t>DOCUMENTS INCORPORATED BY REFERENCE</w:t>
      </w:r>
    </w:p>
    <w:p>
      <w:pPr>
        <w:spacing w:after="0" w:line="45" w:lineRule="exact"/>
        <w:rPr>
          <w:sz w:val="24"/>
          <w:szCs w:val="24"/>
          <w:color w:val="auto"/>
        </w:rPr>
      </w:pPr>
    </w:p>
    <w:p>
      <w:pPr>
        <w:ind w:right="140"/>
        <w:spacing w:after="0" w:line="300" w:lineRule="auto"/>
        <w:rPr>
          <w:sz w:val="20"/>
          <w:szCs w:val="20"/>
          <w:color w:val="auto"/>
        </w:rPr>
      </w:pPr>
      <w:r>
        <w:rPr>
          <w:rFonts w:ascii="Times New Roman" w:cs="Times New Roman" w:eastAsia="Times New Roman" w:hAnsi="Times New Roman"/>
          <w:sz w:val="11"/>
          <w:szCs w:val="11"/>
          <w:color w:val="auto"/>
        </w:rPr>
        <w:t>Portions of the registrant’s definitive proxy statement to be filed with the United States Securities and Exchange Commission in connection with the registrant’s 2023 Annual Meeting of Stockholders are incorporated by reference in Part III of this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235585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711454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45720</wp:posOffset>
            </wp:positionV>
            <wp:extent cx="711454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80" w:type="dxa"/>
            <w:vAlign w:val="bottom"/>
            <w:gridSpan w:val="14"/>
          </w:tcPr>
          <w:p>
            <w:pPr>
              <w:jc w:val="center"/>
              <w:ind w:right="3640"/>
              <w:spacing w:after="0" w:line="161" w:lineRule="exact"/>
              <w:rPr>
                <w:sz w:val="20"/>
                <w:szCs w:val="20"/>
                <w:color w:val="auto"/>
              </w:rPr>
            </w:pPr>
            <w:r>
              <w:rPr>
                <w:rFonts w:ascii="Times New Roman" w:cs="Times New Roman" w:eastAsia="Times New Roman" w:hAnsi="Times New Roman"/>
                <w:sz w:val="14"/>
                <w:szCs w:val="14"/>
                <w:b w:val="1"/>
                <w:bCs w:val="1"/>
                <w:color w:val="auto"/>
              </w:rPr>
              <w:t>COCA</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COLA CONSOLIDATED, INC.</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89"/>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180" w:type="dxa"/>
            <w:vAlign w:val="bottom"/>
            <w:gridSpan w:val="14"/>
          </w:tcPr>
          <w:p>
            <w:pPr>
              <w:jc w:val="center"/>
              <w:ind w:right="3660"/>
              <w:spacing w:after="0" w:line="161" w:lineRule="exact"/>
              <w:rPr>
                <w:sz w:val="20"/>
                <w:szCs w:val="20"/>
                <w:color w:val="auto"/>
              </w:rPr>
            </w:pPr>
            <w:r>
              <w:rPr>
                <w:rFonts w:ascii="Times New Roman" w:cs="Times New Roman" w:eastAsia="Times New Roman" w:hAnsi="Times New Roman"/>
                <w:sz w:val="14"/>
                <w:szCs w:val="14"/>
                <w:b w:val="1"/>
                <w:bCs w:val="1"/>
                <w:color w:val="auto"/>
              </w:rPr>
              <w:t>ANNUAL REPORT ON FORM 10</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K</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6"/>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80" w:type="dxa"/>
            <w:vAlign w:val="bottom"/>
            <w:gridSpan w:val="16"/>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61"/>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gridSpan w:val="13"/>
          </w:tcPr>
          <w:p>
            <w:pPr>
              <w:jc w:val="center"/>
              <w:ind w:right="4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8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7"/>
        </w:trPr>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80" w:type="dxa"/>
            <w:vAlign w:val="bottom"/>
            <w:gridSpan w:val="10"/>
          </w:tcPr>
          <w:p>
            <w:pPr>
              <w:jc w:val="center"/>
              <w:ind w:right="4640"/>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8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Business</w:t>
            </w:r>
          </w:p>
        </w:tc>
        <w:tc>
          <w:tcPr>
            <w:tcW w:w="460" w:type="dxa"/>
            <w:vAlign w:val="bottom"/>
            <w:tcBorders>
              <w:top w:val="single" w:sz="8" w:color="0000FF"/>
            </w:tcBorders>
          </w:tcPr>
          <w:p>
            <w:pPr>
              <w:spacing w:after="0"/>
              <w:rPr>
                <w:sz w:val="24"/>
                <w:szCs w:val="24"/>
                <w:color w:val="auto"/>
              </w:rPr>
            </w:pPr>
          </w:p>
        </w:tc>
        <w:tc>
          <w:tcPr>
            <w:tcW w:w="4680" w:type="dxa"/>
            <w:vAlign w:val="bottom"/>
            <w:gridSpan w:val="8"/>
          </w:tcPr>
          <w:p>
            <w:pPr>
              <w:spacing w:after="0"/>
              <w:rPr>
                <w:sz w:val="24"/>
                <w:szCs w:val="24"/>
                <w:color w:val="auto"/>
              </w:rPr>
            </w:pPr>
          </w:p>
        </w:tc>
        <w:tc>
          <w:tcPr>
            <w:tcW w:w="4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0000FF"/>
              </w:rPr>
              <w:t>1</w:t>
            </w:r>
          </w:p>
        </w:tc>
        <w:tc>
          <w:tcPr>
            <w:tcW w:w="32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4"/>
              </w:rPr>
              <w:t>Item 1A.</w:t>
            </w:r>
          </w:p>
        </w:tc>
        <w:tc>
          <w:tcPr>
            <w:tcW w:w="480" w:type="dxa"/>
            <w:vAlign w:val="bottom"/>
          </w:tcPr>
          <w:p>
            <w:pPr>
              <w:spacing w:after="0"/>
              <w:rPr>
                <w:sz w:val="13"/>
                <w:szCs w:val="13"/>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880" w:type="dxa"/>
            <w:vAlign w:val="bottom"/>
            <w:gridSpan w:val="25"/>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8</w:t>
            </w:r>
          </w:p>
        </w:tc>
        <w:tc>
          <w:tcPr>
            <w:tcW w:w="320" w:type="dxa"/>
            <w:vAlign w:val="bottom"/>
          </w:tcPr>
          <w:p>
            <w:pPr>
              <w:spacing w:after="0"/>
              <w:rPr>
                <w:sz w:val="13"/>
                <w:szCs w:val="13"/>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1B.</w:t>
            </w:r>
          </w:p>
        </w:tc>
        <w:tc>
          <w:tcPr>
            <w:tcW w:w="480" w:type="dxa"/>
            <w:vAlign w:val="bottom"/>
          </w:tcPr>
          <w:p>
            <w:pPr>
              <w:spacing w:after="0"/>
              <w:rPr>
                <w:sz w:val="13"/>
                <w:szCs w:val="13"/>
                <w:color w:val="auto"/>
              </w:rPr>
            </w:pPr>
          </w:p>
        </w:tc>
        <w:tc>
          <w:tcPr>
            <w:tcW w:w="16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980" w:type="dxa"/>
            <w:vAlign w:val="bottom"/>
            <w:gridSpan w:val="20"/>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16</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5"/>
              </w:rPr>
              <w:t>Properties</w:t>
            </w:r>
          </w:p>
        </w:tc>
        <w:tc>
          <w:tcPr>
            <w:tcW w:w="1040" w:type="dxa"/>
            <w:vAlign w:val="bottom"/>
            <w:gridSpan w:val="6"/>
          </w:tcPr>
          <w:p>
            <w:pPr>
              <w:spacing w:after="0"/>
              <w:rPr>
                <w:sz w:val="13"/>
                <w:szCs w:val="13"/>
                <w:color w:val="auto"/>
              </w:rPr>
            </w:pPr>
          </w:p>
        </w:tc>
        <w:tc>
          <w:tcPr>
            <w:tcW w:w="7980" w:type="dxa"/>
            <w:vAlign w:val="bottom"/>
            <w:gridSpan w:val="20"/>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17</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6"/>
              </w:rPr>
              <w:t>Legal Proceedings</w:t>
            </w:r>
          </w:p>
        </w:tc>
        <w:tc>
          <w:tcPr>
            <w:tcW w:w="8560" w:type="dxa"/>
            <w:vAlign w:val="bottom"/>
            <w:gridSpan w:val="24"/>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18</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200" w:type="dxa"/>
            <w:vAlign w:val="bottom"/>
            <w:gridSpan w:val="22"/>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18</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Information About Our Executive Officers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19</w:t>
            </w:r>
          </w:p>
        </w:tc>
      </w:tr>
      <w:tr>
        <w:trPr>
          <w:trHeight w:val="288"/>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0"/>
          </w:tcPr>
          <w:p>
            <w:pPr>
              <w:jc w:val="center"/>
              <w:ind w:right="4660"/>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88"/>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5.</w:t>
            </w:r>
          </w:p>
        </w:tc>
        <w:tc>
          <w:tcPr>
            <w:tcW w:w="480" w:type="dxa"/>
            <w:vAlign w:val="bottom"/>
          </w:tcPr>
          <w:p>
            <w:pPr>
              <w:spacing w:after="0"/>
              <w:rPr>
                <w:sz w:val="24"/>
                <w:szCs w:val="24"/>
                <w:color w:val="auto"/>
              </w:rPr>
            </w:pPr>
          </w:p>
        </w:tc>
        <w:tc>
          <w:tcPr>
            <w:tcW w:w="96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21</w:t>
            </w:r>
          </w:p>
        </w:tc>
      </w:tr>
      <w:tr>
        <w:trPr>
          <w:trHeight w:val="160"/>
        </w:trPr>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6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634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[Reserved]</w:t>
            </w:r>
          </w:p>
        </w:tc>
        <w:tc>
          <w:tcPr>
            <w:tcW w:w="3260" w:type="dxa"/>
            <w:vAlign w:val="bottom"/>
          </w:tcPr>
          <w:p>
            <w:pPr>
              <w:spacing w:after="0"/>
              <w:rPr>
                <w:sz w:val="13"/>
                <w:szCs w:val="13"/>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21</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7.</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52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22</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7A.</w:t>
            </w:r>
          </w:p>
        </w:tc>
        <w:tc>
          <w:tcPr>
            <w:tcW w:w="480" w:type="dxa"/>
            <w:vAlign w:val="bottom"/>
          </w:tcPr>
          <w:p>
            <w:pPr>
              <w:spacing w:after="0"/>
              <w:rPr>
                <w:sz w:val="13"/>
                <w:szCs w:val="13"/>
                <w:color w:val="auto"/>
              </w:rPr>
            </w:pPr>
          </w:p>
        </w:tc>
        <w:tc>
          <w:tcPr>
            <w:tcW w:w="96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36</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8.</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800" w:type="dxa"/>
            <w:vAlign w:val="bottom"/>
            <w:gridSpan w:val="2"/>
          </w:tcPr>
          <w:p>
            <w:pPr>
              <w:spacing w:after="0"/>
              <w:rPr>
                <w:sz w:val="13"/>
                <w:szCs w:val="13"/>
                <w:color w:val="auto"/>
              </w:rPr>
            </w:pPr>
          </w:p>
        </w:tc>
        <w:tc>
          <w:tcPr>
            <w:tcW w:w="6180" w:type="dxa"/>
            <w:vAlign w:val="bottom"/>
            <w:gridSpan w:val="14"/>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37</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9.</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1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448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78</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9A.</w:t>
            </w:r>
          </w:p>
        </w:tc>
        <w:tc>
          <w:tcPr>
            <w:tcW w:w="480" w:type="dxa"/>
            <w:vAlign w:val="bottom"/>
          </w:tcPr>
          <w:p>
            <w:pPr>
              <w:spacing w:after="0"/>
              <w:rPr>
                <w:sz w:val="13"/>
                <w:szCs w:val="13"/>
                <w:color w:val="auto"/>
              </w:rPr>
            </w:pPr>
          </w:p>
        </w:tc>
        <w:tc>
          <w:tcPr>
            <w:tcW w:w="14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200" w:type="dxa"/>
            <w:vAlign w:val="bottom"/>
            <w:gridSpan w:val="22"/>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78</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9B.</w:t>
            </w:r>
          </w:p>
        </w:tc>
        <w:tc>
          <w:tcPr>
            <w:tcW w:w="48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7"/>
              </w:rPr>
              <w:t>Other Information</w:t>
            </w:r>
          </w:p>
        </w:tc>
        <w:tc>
          <w:tcPr>
            <w:tcW w:w="360" w:type="dxa"/>
            <w:vAlign w:val="bottom"/>
            <w:gridSpan w:val="2"/>
          </w:tcPr>
          <w:p>
            <w:pPr>
              <w:spacing w:after="0"/>
              <w:rPr>
                <w:sz w:val="13"/>
                <w:szCs w:val="13"/>
                <w:color w:val="auto"/>
              </w:rPr>
            </w:pPr>
          </w:p>
        </w:tc>
        <w:tc>
          <w:tcPr>
            <w:tcW w:w="8200" w:type="dxa"/>
            <w:vAlign w:val="bottom"/>
            <w:gridSpan w:val="22"/>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78</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9C.</w:t>
            </w:r>
          </w:p>
        </w:tc>
        <w:tc>
          <w:tcPr>
            <w:tcW w:w="480" w:type="dxa"/>
            <w:vAlign w:val="bottom"/>
          </w:tcPr>
          <w:p>
            <w:pPr>
              <w:spacing w:after="0"/>
              <w:rPr>
                <w:sz w:val="13"/>
                <w:szCs w:val="13"/>
                <w:color w:val="auto"/>
              </w:rPr>
            </w:pPr>
          </w:p>
        </w:tc>
        <w:tc>
          <w:tcPr>
            <w:tcW w:w="96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78</w:t>
            </w:r>
          </w:p>
        </w:tc>
      </w:tr>
      <w:tr>
        <w:trPr>
          <w:trHeight w:val="288"/>
        </w:trPr>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5320" w:type="dxa"/>
            <w:vAlign w:val="bottom"/>
            <w:gridSpan w:val="12"/>
          </w:tcPr>
          <w:p>
            <w:pPr>
              <w:jc w:val="center"/>
              <w:ind w:right="452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r>
      <w:tr>
        <w:trPr>
          <w:trHeight w:val="288"/>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10.</w:t>
            </w:r>
          </w:p>
        </w:tc>
        <w:tc>
          <w:tcPr>
            <w:tcW w:w="480" w:type="dxa"/>
            <w:vAlign w:val="bottom"/>
          </w:tcPr>
          <w:p>
            <w:pPr>
              <w:spacing w:after="0"/>
              <w:rPr>
                <w:sz w:val="24"/>
                <w:szCs w:val="24"/>
                <w:color w:val="auto"/>
              </w:rPr>
            </w:pPr>
          </w:p>
        </w:tc>
        <w:tc>
          <w:tcPr>
            <w:tcW w:w="44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80" w:type="dxa"/>
            <w:vAlign w:val="bottom"/>
            <w:tcBorders>
              <w:top w:val="single" w:sz="8" w:color="0000FF"/>
            </w:tcBorders>
            <w:gridSpan w:val="6"/>
          </w:tcPr>
          <w:p>
            <w:pPr>
              <w:spacing w:after="0"/>
              <w:rPr>
                <w:sz w:val="24"/>
                <w:szCs w:val="24"/>
                <w:color w:val="auto"/>
              </w:rPr>
            </w:pPr>
          </w:p>
        </w:tc>
        <w:tc>
          <w:tcPr>
            <w:tcW w:w="4620" w:type="dxa"/>
            <w:vAlign w:val="bottom"/>
            <w:gridSpan w:val="5"/>
          </w:tcPr>
          <w:p>
            <w:pPr>
              <w:spacing w:after="0"/>
              <w:rPr>
                <w:sz w:val="24"/>
                <w:szCs w:val="24"/>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79</w:t>
            </w:r>
          </w:p>
        </w:tc>
      </w:tr>
      <w:tr>
        <w:trPr>
          <w:trHeight w:val="160"/>
        </w:trPr>
        <w:tc>
          <w:tcPr>
            <w:tcW w:w="4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Item 11.</w:t>
            </w:r>
          </w:p>
        </w:tc>
        <w:tc>
          <w:tcPr>
            <w:tcW w:w="480" w:type="dxa"/>
            <w:vAlign w:val="bottom"/>
          </w:tcPr>
          <w:p>
            <w:pPr>
              <w:spacing w:after="0"/>
              <w:rPr>
                <w:sz w:val="13"/>
                <w:szCs w:val="13"/>
                <w:color w:val="auto"/>
              </w:rPr>
            </w:pPr>
          </w:p>
        </w:tc>
        <w:tc>
          <w:tcPr>
            <w:tcW w:w="32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380" w:type="dxa"/>
            <w:vAlign w:val="bottom"/>
            <w:gridSpan w:val="15"/>
          </w:tcPr>
          <w:p>
            <w:pPr>
              <w:spacing w:after="0"/>
              <w:rPr>
                <w:sz w:val="13"/>
                <w:szCs w:val="13"/>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79</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16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Item 12.</w:t>
            </w:r>
          </w:p>
        </w:tc>
        <w:tc>
          <w:tcPr>
            <w:tcW w:w="480" w:type="dxa"/>
            <w:vAlign w:val="bottom"/>
          </w:tcPr>
          <w:p>
            <w:pPr>
              <w:spacing w:after="0"/>
              <w:rPr>
                <w:sz w:val="13"/>
                <w:szCs w:val="13"/>
                <w:color w:val="auto"/>
              </w:rPr>
            </w:pPr>
          </w:p>
        </w:tc>
        <w:tc>
          <w:tcPr>
            <w:tcW w:w="57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860" w:type="dxa"/>
            <w:vAlign w:val="bottom"/>
            <w:gridSpan w:val="2"/>
          </w:tcPr>
          <w:p>
            <w:pPr>
              <w:spacing w:after="0"/>
              <w:rPr>
                <w:sz w:val="13"/>
                <w:szCs w:val="13"/>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79</w:t>
            </w: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13.</w:t>
            </w:r>
          </w:p>
        </w:tc>
        <w:tc>
          <w:tcPr>
            <w:tcW w:w="480" w:type="dxa"/>
            <w:vAlign w:val="bottom"/>
          </w:tcPr>
          <w:p>
            <w:pPr>
              <w:spacing w:after="0"/>
              <w:rPr>
                <w:sz w:val="13"/>
                <w:szCs w:val="13"/>
                <w:color w:val="auto"/>
              </w:rPr>
            </w:pPr>
          </w:p>
        </w:tc>
        <w:tc>
          <w:tcPr>
            <w:tcW w:w="96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79</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14.</w:t>
            </w:r>
          </w:p>
        </w:tc>
        <w:tc>
          <w:tcPr>
            <w:tcW w:w="480" w:type="dxa"/>
            <w:vAlign w:val="bottom"/>
          </w:tcPr>
          <w:p>
            <w:pPr>
              <w:spacing w:after="0"/>
              <w:rPr>
                <w:sz w:val="13"/>
                <w:szCs w:val="13"/>
                <w:color w:val="auto"/>
              </w:rPr>
            </w:pPr>
          </w:p>
        </w:tc>
        <w:tc>
          <w:tcPr>
            <w:tcW w:w="42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5320" w:type="dxa"/>
            <w:vAlign w:val="bottom"/>
            <w:gridSpan w:val="12"/>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79</w:t>
            </w:r>
          </w:p>
        </w:tc>
      </w:tr>
      <w:tr>
        <w:trPr>
          <w:trHeight w:val="288"/>
        </w:trPr>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1"/>
          </w:tcPr>
          <w:p>
            <w:pPr>
              <w:jc w:val="center"/>
              <w:ind w:right="4640"/>
              <w:spacing w:after="0"/>
              <w:rPr>
                <w:sz w:val="20"/>
                <w:szCs w:val="20"/>
                <w:color w:val="auto"/>
              </w:rPr>
            </w:pPr>
            <w:r>
              <w:rPr>
                <w:rFonts w:ascii="Times New Roman" w:cs="Times New Roman" w:eastAsia="Times New Roman" w:hAnsi="Times New Roman"/>
                <w:sz w:val="14"/>
                <w:szCs w:val="14"/>
                <w:b w:val="1"/>
                <w:bCs w:val="1"/>
                <w:color w:val="0000FF"/>
                <w:w w:val="97"/>
              </w:rPr>
              <w:t>PART IV</w:t>
            </w: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r>
      <w:tr>
        <w:trPr>
          <w:trHeight w:val="288"/>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15.</w:t>
            </w:r>
          </w:p>
        </w:tc>
        <w:tc>
          <w:tcPr>
            <w:tcW w:w="480" w:type="dxa"/>
            <w:vAlign w:val="bottom"/>
          </w:tcPr>
          <w:p>
            <w:pPr>
              <w:spacing w:after="0"/>
              <w:rPr>
                <w:sz w:val="24"/>
                <w:szCs w:val="24"/>
                <w:color w:val="auto"/>
              </w:rPr>
            </w:pPr>
          </w:p>
        </w:tc>
        <w:tc>
          <w:tcPr>
            <w:tcW w:w="44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40" w:type="dxa"/>
            <w:vAlign w:val="bottom"/>
            <w:tcBorders>
              <w:top w:val="single" w:sz="8" w:color="0000FF"/>
            </w:tcBorders>
            <w:gridSpan w:val="4"/>
          </w:tcPr>
          <w:p>
            <w:pPr>
              <w:spacing w:after="0"/>
              <w:rPr>
                <w:sz w:val="24"/>
                <w:szCs w:val="24"/>
                <w:color w:val="auto"/>
              </w:rPr>
            </w:pPr>
          </w:p>
        </w:tc>
        <w:tc>
          <w:tcPr>
            <w:tcW w:w="4640" w:type="dxa"/>
            <w:vAlign w:val="bottom"/>
            <w:gridSpan w:val="6"/>
          </w:tcPr>
          <w:p>
            <w:pPr>
              <w:spacing w:after="0"/>
              <w:rPr>
                <w:sz w:val="24"/>
                <w:szCs w:val="24"/>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80</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7120" w:type="dxa"/>
            <w:vAlign w:val="bottom"/>
            <w:gridSpan w:val="1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16.</w:t>
            </w:r>
          </w:p>
        </w:tc>
        <w:tc>
          <w:tcPr>
            <w:tcW w:w="480" w:type="dxa"/>
            <w:vAlign w:val="bottom"/>
          </w:tcPr>
          <w:p>
            <w:pPr>
              <w:spacing w:after="0"/>
              <w:rPr>
                <w:sz w:val="13"/>
                <w:szCs w:val="13"/>
                <w:color w:val="auto"/>
              </w:rPr>
            </w:pPr>
          </w:p>
        </w:tc>
        <w:tc>
          <w:tcPr>
            <w:tcW w:w="24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7120" w:type="dxa"/>
            <w:vAlign w:val="bottom"/>
            <w:gridSpan w:val="17"/>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85</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8380" w:type="dxa"/>
            <w:vAlign w:val="bottom"/>
            <w:gridSpan w:val="2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8380" w:type="dxa"/>
            <w:vAlign w:val="bottom"/>
            <w:gridSpan w:val="23"/>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0000FF"/>
                <w:w w:val="71"/>
              </w:rPr>
              <w:t>87</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w:t>
        <w:tab/>
        <w:t>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Introduction</w:t>
      </w:r>
    </w:p>
    <w:p>
      <w:pPr>
        <w:spacing w:after="0" w:line="181" w:lineRule="exact"/>
        <w:rPr>
          <w:sz w:val="20"/>
          <w:szCs w:val="20"/>
          <w:color w:val="auto"/>
        </w:rPr>
      </w:pPr>
    </w:p>
    <w:p>
      <w:pPr>
        <w:ind w:right="60"/>
        <w:spacing w:after="0" w:line="176" w:lineRule="exact"/>
        <w:rPr>
          <w:sz w:val="20"/>
          <w:szCs w:val="20"/>
          <w:color w:val="auto"/>
        </w:rPr>
      </w:pPr>
      <w:r>
        <w:rPr>
          <w:rFonts w:ascii="Times New Roman" w:cs="Times New Roman" w:eastAsia="Times New Roman" w:hAnsi="Times New Roman"/>
          <w:sz w:val="14"/>
          <w:szCs w:val="14"/>
          <w:color w:val="auto"/>
        </w:rPr>
        <w:t>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Consolidated, Inc., a Delaware corporation (together with its majority-owned subsidiaries,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Consolidated,” the “Company,” “we,” “us” or “our”), distributes, markets and manufactures nonalcoholic beverages in territories spanning 14 states and the District of Columbia. The Company was incorporated in 1980 and, together with its predecessors, has been in the nonalcoholic beverage manufacturing and distribution business since 1902. We are the largest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 in the United States. Approximately 86% of our total bottle/can sales volume to retail customers consists of products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which include some of the most recognized and popular beverage brands in the world. We also distribute products for several other beverage companies, including Keurig Dr Pepper Inc. (“Dr Pepper”) and Monster Energy Company (“Monster Energy”). Our Purpose is to honor God in all we do, to serve others, to pursue excellence and to grow profitably.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Ownership</w:t>
      </w:r>
    </w:p>
    <w:p>
      <w:pPr>
        <w:spacing w:after="0" w:line="202" w:lineRule="exact"/>
        <w:rPr>
          <w:sz w:val="20"/>
          <w:szCs w:val="20"/>
          <w:color w:val="auto"/>
        </w:rPr>
      </w:pPr>
    </w:p>
    <w:p>
      <w:pPr>
        <w:ind w:right="80"/>
        <w:spacing w:after="0" w:line="172" w:lineRule="exact"/>
        <w:rPr>
          <w:sz w:val="20"/>
          <w:szCs w:val="20"/>
          <w:color w:val="auto"/>
        </w:rPr>
      </w:pPr>
      <w:r>
        <w:rPr>
          <w:rFonts w:ascii="Times New Roman" w:cs="Times New Roman" w:eastAsia="Times New Roman" w:hAnsi="Times New Roman"/>
          <w:sz w:val="14"/>
          <w:szCs w:val="14"/>
          <w:color w:val="auto"/>
        </w:rPr>
        <w:t>As of December 31, 2022, J. Frank Harrison, III, Chairman of the Board of Directors and Chief Executive Officer of the Company, controlled 1,004,394 shares of the Company’s Class B Common Stock, which represented approximately 71% of the total voting power of the Company’s outstanding Common Stock and Class B Common Stock on a consolidated basis. As of December 31, 2022,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owned shares of the Company’s Common Stock representing approximately 9% of the total voting power of the Company’s outstanding Common Stock and Class B Common Stock on a consolidated basis. The number of shares of the Company’s Common Stock currently held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gives it the right to have a designee proposed by the Company for nomination to the Company’s Board of Directors in the Company’s annual proxy statement. J. Frank Harrison, III and the trustees of certain trusts established for the benefit of certain relatives of the late J. Frank Harrison, Jr. have agreed to vote the shares of the Company’s Common Stock and Class B Common Stock that they control in favor of such designee.</w:t>
      </w:r>
    </w:p>
    <w:p>
      <w:pPr>
        <w:spacing w:after="0" w:line="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does not own any shares of the Company’s Class B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Beverage Products</w:t>
      </w:r>
    </w:p>
    <w:p>
      <w:pPr>
        <w:spacing w:after="0" w:line="202" w:lineRule="exact"/>
        <w:rPr>
          <w:sz w:val="20"/>
          <w:szCs w:val="20"/>
          <w:color w:val="auto"/>
        </w:rPr>
      </w:pPr>
    </w:p>
    <w:p>
      <w:pPr>
        <w:spacing w:after="0" w:line="175" w:lineRule="exact"/>
        <w:rPr>
          <w:sz w:val="20"/>
          <w:szCs w:val="20"/>
          <w:color w:val="auto"/>
        </w:rPr>
      </w:pPr>
      <w:r>
        <w:rPr>
          <w:rFonts w:ascii="Times New Roman" w:cs="Times New Roman" w:eastAsia="Times New Roman" w:hAnsi="Times New Roman"/>
          <w:sz w:val="14"/>
          <w:szCs w:val="14"/>
          <w:color w:val="auto"/>
        </w:rPr>
        <w:t>We offer a range of nonalcoholic beverage products and flavors, including both sparkling and still beverages, designed to meet the demands of our consumers. Sparkling beverages are carbonated beverages and the Company’s principal sparkling beverage is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Still beverages include energy products and noncarbonated beverages such as bottled water, ready to drink tea, ready to drink coffee, enhanced water, juices and sports drinks.</w:t>
      </w:r>
    </w:p>
    <w:p>
      <w:pPr>
        <w:spacing w:after="0" w:line="177" w:lineRule="exact"/>
        <w:rPr>
          <w:sz w:val="20"/>
          <w:szCs w:val="20"/>
          <w:color w:val="auto"/>
        </w:rPr>
      </w:pPr>
    </w:p>
    <w:p>
      <w:pPr>
        <w:ind w:right="140"/>
        <w:spacing w:after="0" w:line="175" w:lineRule="exact"/>
        <w:rPr>
          <w:sz w:val="20"/>
          <w:szCs w:val="20"/>
          <w:color w:val="auto"/>
        </w:rPr>
      </w:pPr>
      <w:r>
        <w:rPr>
          <w:rFonts w:ascii="Times New Roman" w:cs="Times New Roman" w:eastAsia="Times New Roman" w:hAnsi="Times New Roman"/>
          <w:sz w:val="14"/>
          <w:szCs w:val="14"/>
          <w:color w:val="auto"/>
        </w:rPr>
        <w:t>Our sales are divided into two main categories: (i) bottle/can sales and (ii) other sales. Bottle/can sales include products packaged primarily in plastic bottles and aluminum cans. Other sales include sales to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post-mix sales, transportation revenue and equipment maintenance revenue. Post-mix products are dispensed through equipment that mixes fountain syrups with carbonated or still water, enabling fountain retailers to sell finished products to consumers in cups or glasses.</w:t>
      </w:r>
    </w:p>
    <w:p>
      <w:pPr>
        <w:spacing w:after="0" w:line="156"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The following table sets forth some of our principal products, including products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products licensed to us by other beverage companies: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Sparkling Beverages</w:t>
            </w:r>
          </w:p>
        </w:tc>
        <w:tc>
          <w:tcPr>
            <w:tcW w:w="28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Still Beverages</w:t>
            </w:r>
          </w:p>
        </w:tc>
      </w:tr>
      <w:tr>
        <w:trPr>
          <w:trHeight w:val="16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The Coca-Cola Company Products:</w:t>
            </w:r>
          </w:p>
        </w:tc>
        <w:tc>
          <w:tcPr>
            <w:tcW w:w="290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r>
      <w:tr>
        <w:trPr>
          <w:trHeight w:val="168"/>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Barqs Root Beer</w:t>
            </w:r>
          </w:p>
        </w:tc>
        <w:tc>
          <w:tcPr>
            <w:tcW w:w="29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Fresca</w:t>
            </w:r>
          </w:p>
        </w:tc>
        <w:tc>
          <w:tcPr>
            <w:tcW w:w="286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AHA</w:t>
            </w:r>
          </w:p>
        </w:tc>
        <w:tc>
          <w:tcPr>
            <w:tcW w:w="34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Peace Tea</w:t>
            </w:r>
          </w:p>
        </w:tc>
      </w:tr>
      <w:tr>
        <w:trPr>
          <w:trHeight w:val="172"/>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Cherry Coca-Cola</w:t>
            </w:r>
          </w:p>
        </w:tc>
        <w:tc>
          <w:tcPr>
            <w:tcW w:w="2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Mello Yello</w:t>
            </w:r>
          </w:p>
        </w:tc>
        <w:tc>
          <w:tcPr>
            <w:tcW w:w="2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BODYARMOR products</w:t>
            </w:r>
          </w:p>
        </w:tc>
        <w:tc>
          <w:tcPr>
            <w:tcW w:w="34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POWERade</w:t>
            </w:r>
          </w:p>
        </w:tc>
      </w:tr>
      <w:tr>
        <w:trPr>
          <w:trHeight w:val="168"/>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Cherry Coca-Cola Zero</w:t>
            </w:r>
          </w:p>
        </w:tc>
        <w:tc>
          <w:tcPr>
            <w:tcW w:w="29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Mello Yello Zero</w:t>
            </w:r>
          </w:p>
        </w:tc>
        <w:tc>
          <w:tcPr>
            <w:tcW w:w="286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Core Power</w:t>
            </w:r>
          </w:p>
        </w:tc>
        <w:tc>
          <w:tcPr>
            <w:tcW w:w="34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POWERade Zero</w:t>
            </w:r>
          </w:p>
        </w:tc>
      </w:tr>
      <w:tr>
        <w:trPr>
          <w:trHeight w:val="172"/>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Coca-Cola</w:t>
            </w:r>
          </w:p>
        </w:tc>
        <w:tc>
          <w:tcPr>
            <w:tcW w:w="2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Minute Maid Sparkling</w:t>
            </w:r>
          </w:p>
        </w:tc>
        <w:tc>
          <w:tcPr>
            <w:tcW w:w="2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Dasani</w:t>
            </w:r>
          </w:p>
        </w:tc>
        <w:tc>
          <w:tcPr>
            <w:tcW w:w="34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Tum-E Yummies</w:t>
            </w:r>
          </w:p>
        </w:tc>
      </w:tr>
      <w:tr>
        <w:trPr>
          <w:trHeight w:val="168"/>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Coca-Cola Vanilla</w:t>
            </w:r>
          </w:p>
        </w:tc>
        <w:tc>
          <w:tcPr>
            <w:tcW w:w="29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Pibb Xtra</w:t>
            </w:r>
          </w:p>
        </w:tc>
        <w:tc>
          <w:tcPr>
            <w:tcW w:w="286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fairlife products</w:t>
            </w:r>
          </w:p>
        </w:tc>
        <w:tc>
          <w:tcPr>
            <w:tcW w:w="3420" w:type="dxa"/>
            <w:vAlign w:val="bottom"/>
          </w:tcPr>
          <w:p>
            <w:pPr>
              <w:spacing w:after="0"/>
              <w:rPr>
                <w:sz w:val="14"/>
                <w:szCs w:val="14"/>
                <w:color w:val="auto"/>
              </w:rPr>
            </w:pPr>
          </w:p>
        </w:tc>
      </w:tr>
      <w:tr>
        <w:trPr>
          <w:trHeight w:val="172"/>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Coca-Cola Zero Sugar</w:t>
            </w:r>
          </w:p>
        </w:tc>
        <w:tc>
          <w:tcPr>
            <w:tcW w:w="2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Seagrams Ginger Ale</w:t>
            </w:r>
          </w:p>
        </w:tc>
        <w:tc>
          <w:tcPr>
            <w:tcW w:w="2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glacéau smartwater</w:t>
            </w:r>
          </w:p>
        </w:tc>
        <w:tc>
          <w:tcPr>
            <w:tcW w:w="3420" w:type="dxa"/>
            <w:vAlign w:val="bottom"/>
            <w:shd w:val="clear" w:color="auto" w:fill="CCEEFF"/>
          </w:tcPr>
          <w:p>
            <w:pPr>
              <w:spacing w:after="0"/>
              <w:rPr>
                <w:sz w:val="14"/>
                <w:szCs w:val="14"/>
                <w:color w:val="auto"/>
              </w:rPr>
            </w:pPr>
          </w:p>
        </w:tc>
      </w:tr>
      <w:tr>
        <w:trPr>
          <w:trHeight w:val="168"/>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Diet Coke</w:t>
            </w:r>
          </w:p>
        </w:tc>
        <w:tc>
          <w:tcPr>
            <w:tcW w:w="29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Sprite</w:t>
            </w:r>
          </w:p>
        </w:tc>
        <w:tc>
          <w:tcPr>
            <w:tcW w:w="286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glacéau vitaminwater</w:t>
            </w:r>
          </w:p>
        </w:tc>
        <w:tc>
          <w:tcPr>
            <w:tcW w:w="3420" w:type="dxa"/>
            <w:vAlign w:val="bottom"/>
          </w:tcPr>
          <w:p>
            <w:pPr>
              <w:spacing w:after="0"/>
              <w:rPr>
                <w:sz w:val="14"/>
                <w:szCs w:val="14"/>
                <w:color w:val="auto"/>
              </w:rPr>
            </w:pPr>
          </w:p>
        </w:tc>
      </w:tr>
      <w:tr>
        <w:trPr>
          <w:trHeight w:val="172"/>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Fanta</w:t>
            </w:r>
          </w:p>
        </w:tc>
        <w:tc>
          <w:tcPr>
            <w:tcW w:w="2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Sprite Zero Sugar</w:t>
            </w:r>
          </w:p>
        </w:tc>
        <w:tc>
          <w:tcPr>
            <w:tcW w:w="2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Gold Peak Tea</w:t>
            </w:r>
          </w:p>
        </w:tc>
        <w:tc>
          <w:tcPr>
            <w:tcW w:w="3420" w:type="dxa"/>
            <w:vAlign w:val="bottom"/>
            <w:shd w:val="clear" w:color="auto" w:fill="CCEEFF"/>
          </w:tcPr>
          <w:p>
            <w:pPr>
              <w:spacing w:after="0"/>
              <w:rPr>
                <w:sz w:val="14"/>
                <w:szCs w:val="14"/>
                <w:color w:val="auto"/>
              </w:rPr>
            </w:pPr>
          </w:p>
        </w:tc>
      </w:tr>
      <w:tr>
        <w:trPr>
          <w:trHeight w:val="168"/>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Fanta Zero</w:t>
            </w:r>
          </w:p>
        </w:tc>
        <w:tc>
          <w:tcPr>
            <w:tcW w:w="2900" w:type="dxa"/>
            <w:vAlign w:val="bottom"/>
          </w:tcPr>
          <w:p>
            <w:pPr>
              <w:spacing w:after="0"/>
              <w:rPr>
                <w:sz w:val="14"/>
                <w:szCs w:val="14"/>
                <w:color w:val="auto"/>
              </w:rPr>
            </w:pPr>
          </w:p>
        </w:tc>
        <w:tc>
          <w:tcPr>
            <w:tcW w:w="286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Minute Maid Juices To Go</w:t>
            </w:r>
          </w:p>
        </w:tc>
        <w:tc>
          <w:tcPr>
            <w:tcW w:w="3420" w:type="dxa"/>
            <w:vAlign w:val="bottom"/>
          </w:tcPr>
          <w:p>
            <w:pPr>
              <w:spacing w:after="0"/>
              <w:rPr>
                <w:sz w:val="14"/>
                <w:szCs w:val="14"/>
                <w:color w:val="auto"/>
              </w:rPr>
            </w:pPr>
          </w:p>
        </w:tc>
      </w:tr>
      <w:tr>
        <w:trPr>
          <w:trHeight w:val="161"/>
        </w:trPr>
        <w:tc>
          <w:tcPr>
            <w:tcW w:w="4980" w:type="dxa"/>
            <w:vAlign w:val="bottom"/>
            <w:gridSpan w:val="2"/>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r>
      <w:tr>
        <w:trPr>
          <w:trHeight w:val="16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Products Licensed to Us by Other Beverage Companies:</w:t>
            </w:r>
          </w:p>
        </w:tc>
        <w:tc>
          <w:tcPr>
            <w:tcW w:w="286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71"/>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Diet Dr Pepper</w:t>
            </w:r>
          </w:p>
        </w:tc>
        <w:tc>
          <w:tcPr>
            <w:tcW w:w="2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Sundrop</w:t>
            </w:r>
          </w:p>
        </w:tc>
        <w:tc>
          <w:tcPr>
            <w:tcW w:w="2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Dunkin’ Donuts products</w:t>
            </w:r>
          </w:p>
        </w:tc>
        <w:tc>
          <w:tcPr>
            <w:tcW w:w="34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NOS®</w:t>
            </w:r>
          </w:p>
        </w:tc>
      </w:tr>
      <w:tr>
        <w:trPr>
          <w:trHeight w:val="168"/>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Diet Sundrop</w:t>
            </w:r>
          </w:p>
        </w:tc>
        <w:tc>
          <w:tcPr>
            <w:tcW w:w="2900" w:type="dxa"/>
            <w:vAlign w:val="bottom"/>
          </w:tcPr>
          <w:p>
            <w:pPr>
              <w:spacing w:after="0"/>
              <w:rPr>
                <w:sz w:val="14"/>
                <w:szCs w:val="14"/>
                <w:color w:val="auto"/>
              </w:rPr>
            </w:pPr>
          </w:p>
        </w:tc>
        <w:tc>
          <w:tcPr>
            <w:tcW w:w="286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Full Throttle</w:t>
            </w:r>
          </w:p>
        </w:tc>
        <w:tc>
          <w:tcPr>
            <w:tcW w:w="34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Reign products</w:t>
            </w:r>
          </w:p>
        </w:tc>
      </w:tr>
      <w:tr>
        <w:trPr>
          <w:trHeight w:val="172"/>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Dr Pepper</w:t>
            </w:r>
          </w:p>
        </w:tc>
        <w:tc>
          <w:tcPr>
            <w:tcW w:w="2900" w:type="dxa"/>
            <w:vAlign w:val="bottom"/>
            <w:shd w:val="clear" w:color="auto" w:fill="CCEEFF"/>
          </w:tcPr>
          <w:p>
            <w:pPr>
              <w:spacing w:after="0"/>
              <w:rPr>
                <w:sz w:val="14"/>
                <w:szCs w:val="14"/>
                <w:color w:val="auto"/>
              </w:rPr>
            </w:pPr>
          </w:p>
        </w:tc>
        <w:tc>
          <w:tcPr>
            <w:tcW w:w="2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Monster Energy products</w:t>
            </w:r>
          </w:p>
        </w:tc>
        <w:tc>
          <w:tcPr>
            <w:tcW w:w="342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auto"/>
        </w:rPr>
        <w:t>Beverage Distribution and Manufacturing Agreements</w:t>
      </w:r>
    </w:p>
    <w:p>
      <w:pPr>
        <w:spacing w:after="0" w:line="181" w:lineRule="exact"/>
        <w:rPr>
          <w:sz w:val="20"/>
          <w:szCs w:val="20"/>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We have rights to distribute, promote, market and sell certain nonalcoholic beverages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pursuant to comprehensive beverage agreements (collectively, the “CBA”)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Refreshments USA, Inc. (“CCR”), a wholly owned subsidiary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The CBA relates to a multi-year series of transactions, which were completed in October 2017, through which the Company acquired and exchanged distribution territories and manufacturing plants. The CBA requires the Company to make quarterly acquisition related sub-bottling payments to CCR on a continuing basis in exchange for the grant of exclusive rights to distribute, promote, market and sell the authorized brands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related products in certain of the Company’s distribution territories. In addition to customary termination and default rights, the CBA requires us to make minimum, ongoing capital expenditures in our distribution business and to meet certain minimum volume requirements, gives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certain approval and other rights in connection with a sale of the Company or of the distribution business of the Company and prohibits us from producing, manufacturing, preparing, packaging, distributing, selling, dealing in or otherwise using or handling any beverages, beverage components or other beverage products other than the beverages and beverage products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certain expressly permitted cross-licensed brands without the consent of The Coca-Cola Company.</w:t>
      </w:r>
    </w:p>
    <w:p>
      <w:pPr>
        <w:spacing w:after="0" w:line="161" w:lineRule="exact"/>
        <w:rPr>
          <w:sz w:val="20"/>
          <w:szCs w:val="20"/>
          <w:color w:val="auto"/>
        </w:rPr>
      </w:pPr>
    </w:p>
    <w:p>
      <w:pPr>
        <w:ind w:right="60"/>
        <w:spacing w:after="0" w:line="176" w:lineRule="exact"/>
        <w:rPr>
          <w:sz w:val="20"/>
          <w:szCs w:val="20"/>
          <w:color w:val="auto"/>
        </w:rPr>
      </w:pPr>
      <w:r>
        <w:rPr>
          <w:rFonts w:ascii="Times New Roman" w:cs="Times New Roman" w:eastAsia="Times New Roman" w:hAnsi="Times New Roman"/>
          <w:sz w:val="14"/>
          <w:szCs w:val="14"/>
          <w:color w:val="auto"/>
        </w:rPr>
        <w:t>We also have rights to manufacture, produce and package certain beverages bearing trademarks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at our manufacturing plants pursuant to a regional manufacturing agreement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entered into on March 31, 2017 (as amended, the “RMA”). We may distribute these beverages for our own account in accordance with the CBA or may sell them to certain other U.S.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or to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in accordance with the RMA. For prices determined pursuant to the RMA,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unilaterally establishes from time to time the prices, or certain elements of the formulas used to determine the prices, that the Company charges for these sales to certain other U.S.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or to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The RMA contains provisions similar to those contained in the CBA restricting the sale of the Company or the manufacturing business of the Company, requiring minimum, ongoing capital expenditures in our manufacturing business, prohibiting us from manufacturing any beverages, beverage components or other beverage products other than the beverages and beverage products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certain expressly permitted cross-licensed brands without the consent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allowing for the termination of the RMA.</w:t>
      </w:r>
    </w:p>
    <w:p>
      <w:pPr>
        <w:spacing w:after="0" w:line="319" w:lineRule="exact"/>
        <w:rPr>
          <w:sz w:val="20"/>
          <w:szCs w:val="20"/>
          <w:color w:val="auto"/>
        </w:rPr>
      </w:pPr>
    </w:p>
    <w:p>
      <w:pPr>
        <w:spacing w:after="0" w:line="175" w:lineRule="exact"/>
        <w:rPr>
          <w:sz w:val="20"/>
          <w:szCs w:val="20"/>
          <w:color w:val="auto"/>
        </w:rPr>
      </w:pPr>
      <w:r>
        <w:rPr>
          <w:rFonts w:ascii="Times New Roman" w:cs="Times New Roman" w:eastAsia="Times New Roman" w:hAnsi="Times New Roman"/>
          <w:sz w:val="14"/>
          <w:szCs w:val="14"/>
          <w:color w:val="auto"/>
        </w:rPr>
        <w:t>In addition to our agreements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CCR, we also have rights to manufacture and/or distribute certain beverage brands owned by other beverage companies, including Dr Pepper and Monster Energy, pursuant to agreements with such other beverage companies. Our distribution agreements with Dr Pepper permit us to distribute Dr Pepper beverage brands, as well as certain post-mix products of Dr Pepper. Certain of our agreements with Dr Pepper also authorize us to manufacture certain Dr Pepper beverage brands. Our distribution agreements with Monster Energy grant us the rights to distribute certain products offered, packaged and/or marketed by Monster Energy. Similar to the CBA, these beverage agreements contain restrictions on the use of trademarks and approved bottles, cans and labels and the sale of imitations or substitutes, as well as provisions for their termination for cause or upon the occurrence of other events defined in these agreements. Sales of beverages under these agreements with other beverage companies represented approximately 14%, 17% and 16% of our total bottle/can sales volume to retail customers in 2022, 2021 and 2020,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Finished Goods Supply Arrangements</w:t>
      </w:r>
    </w:p>
    <w:p>
      <w:pPr>
        <w:spacing w:after="0" w:line="181" w:lineRule="exact"/>
        <w:rPr>
          <w:sz w:val="20"/>
          <w:szCs w:val="20"/>
          <w:color w:val="auto"/>
        </w:rPr>
      </w:pPr>
    </w:p>
    <w:p>
      <w:pPr>
        <w:ind w:right="240"/>
        <w:spacing w:after="0" w:line="180" w:lineRule="exact"/>
        <w:rPr>
          <w:sz w:val="20"/>
          <w:szCs w:val="20"/>
          <w:color w:val="auto"/>
        </w:rPr>
      </w:pPr>
      <w:r>
        <w:rPr>
          <w:rFonts w:ascii="Times New Roman" w:cs="Times New Roman" w:eastAsia="Times New Roman" w:hAnsi="Times New Roman"/>
          <w:sz w:val="14"/>
          <w:szCs w:val="14"/>
          <w:color w:val="auto"/>
        </w:rPr>
        <w:t>We have finished goods supply arrangements with other U.S.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to sell and buy finished goods bearing trademarks owned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produced by us in accordance with the RMA or produced by a selling U.S.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 in accordance with a similar regional manufacturing authorization held by such bottler. Pursuant to the RMA,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unilaterally establishes from time to time the prices, or certain elements of the formulas used to determine the prices, for such finished goods. In most instances, the Company’s ability to negotiate the prices at which it sells finished goods bearing trademarks owned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to, and the prices at which it purchases such finished goods from, other U.S.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is limited pursuant to these pricing provisions.</w:t>
      </w:r>
    </w:p>
    <w:p>
      <w:pPr>
        <w:spacing w:after="0" w:line="14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u w:val="single" w:color="auto"/>
          <w:color w:val="auto"/>
        </w:rPr>
        <w:t>Other Agreements Related to the Coca</w:t>
      </w:r>
      <w:r>
        <w:rPr>
          <w:rFonts w:ascii="MS PGothic" w:cs="MS PGothic" w:eastAsia="MS PGothic" w:hAnsi="MS PGothic"/>
          <w:sz w:val="14"/>
          <w:szCs w:val="14"/>
          <w:u w:val="single" w:color="auto"/>
          <w:color w:val="auto"/>
          <w:strike w:val="1"/>
        </w:rPr>
        <w:t>‑</w:t>
      </w:r>
      <w:r>
        <w:rPr>
          <w:rFonts w:ascii="Times New Roman" w:cs="Times New Roman" w:eastAsia="Times New Roman" w:hAnsi="Times New Roman"/>
          <w:sz w:val="14"/>
          <w:szCs w:val="14"/>
          <w:b w:val="1"/>
          <w:bCs w:val="1"/>
          <w:u w:val="single" w:color="auto"/>
          <w:color w:val="auto"/>
        </w:rPr>
        <w:t>Cola System</w:t>
      </w:r>
    </w:p>
    <w:p>
      <w:pPr>
        <w:spacing w:after="0" w:line="200" w:lineRule="exact"/>
        <w:rPr>
          <w:sz w:val="20"/>
          <w:szCs w:val="20"/>
          <w:color w:val="auto"/>
        </w:rPr>
      </w:pPr>
    </w:p>
    <w:p>
      <w:pPr>
        <w:ind w:right="320"/>
        <w:spacing w:after="0" w:line="187" w:lineRule="exact"/>
        <w:rPr>
          <w:sz w:val="20"/>
          <w:szCs w:val="20"/>
          <w:color w:val="auto"/>
        </w:rPr>
      </w:pPr>
      <w:r>
        <w:rPr>
          <w:rFonts w:ascii="Times New Roman" w:cs="Times New Roman" w:eastAsia="Times New Roman" w:hAnsi="Times New Roman"/>
          <w:sz w:val="14"/>
          <w:szCs w:val="14"/>
          <w:color w:val="auto"/>
        </w:rPr>
        <w:t>We have other agreements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CCR and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regarding product supply, information technology services and other aspects of the North American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system, as described below. Many of these agreements involve system governance structures that require the Company’s management to closely collaborate and align with other participating bottlers in order to successfully implement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system plans and strategies.</w:t>
      </w:r>
    </w:p>
    <w:p>
      <w:pPr>
        <w:spacing w:after="0" w:line="14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color w:val="auto"/>
        </w:rPr>
        <w:t>Incidence-Based Pricing Agreement with The Coca</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Cola Company</w:t>
      </w:r>
    </w:p>
    <w:p>
      <w:pPr>
        <w:spacing w:after="0" w:line="200" w:lineRule="exact"/>
        <w:rPr>
          <w:sz w:val="20"/>
          <w:szCs w:val="20"/>
          <w:color w:val="auto"/>
        </w:rPr>
      </w:pPr>
    </w:p>
    <w:p>
      <w:pPr>
        <w:ind w:right="320"/>
        <w:spacing w:after="0" w:line="188" w:lineRule="exact"/>
        <w:rPr>
          <w:sz w:val="20"/>
          <w:szCs w:val="20"/>
          <w:color w:val="auto"/>
        </w:rPr>
      </w:pPr>
      <w:r>
        <w:rPr>
          <w:rFonts w:ascii="Times New Roman" w:cs="Times New Roman" w:eastAsia="Times New Roman" w:hAnsi="Times New Roman"/>
          <w:sz w:val="14"/>
          <w:szCs w:val="14"/>
          <w:color w:val="auto"/>
        </w:rPr>
        <w:t>The Company has an incidence-based pricing agreement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which establishes the prices charged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to the Company for (i) concentrates of sparkling and certain still beverages produced by the Company and</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 w:name="page5"/>
    <w:bookmarkEnd w:id="4"/>
    <w:p>
      <w:pPr>
        <w:ind w:right="20" w:firstLine="5"/>
        <w:spacing w:after="0" w:line="179" w:lineRule="exact"/>
        <w:tabs>
          <w:tab w:leader="none" w:pos="2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purchased still beverages. Under the incidence-based pricing agreement, the prices charged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are impacted by a number of factors, including the incidence rate in effect, our pricing and sales of finished products, the channels in which the finished products are sold, the package mix and, in the case of products sold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to us in finished form, the cost of goods for certain elements used in such products.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has no rights under the incidence-based pricing agreement to establish the prices, or the elements of the formulas used to determine the prices, at which we sell products, but does have the right to establish certain pricing under other agreements, including the RMA.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National Product Supply Governance Agreement</w:t>
      </w:r>
    </w:p>
    <w:p>
      <w:pPr>
        <w:spacing w:after="0" w:line="181" w:lineRule="exact"/>
        <w:rPr>
          <w:sz w:val="20"/>
          <w:szCs w:val="20"/>
          <w:color w:val="auto"/>
        </w:rPr>
      </w:pPr>
    </w:p>
    <w:p>
      <w:pPr>
        <w:jc w:val="both"/>
        <w:ind w:right="100"/>
        <w:spacing w:after="0" w:line="179" w:lineRule="exact"/>
        <w:rPr>
          <w:sz w:val="20"/>
          <w:szCs w:val="20"/>
          <w:color w:val="auto"/>
        </w:rPr>
      </w:pPr>
      <w:r>
        <w:rPr>
          <w:rFonts w:ascii="Times New Roman" w:cs="Times New Roman" w:eastAsia="Times New Roman" w:hAnsi="Times New Roman"/>
          <w:sz w:val="14"/>
          <w:szCs w:val="14"/>
          <w:color w:val="auto"/>
        </w:rPr>
        <w:t>We are a member of a national product supply group (the “NPSG”), which is comprised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the Company and certain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who are regional producing bottlers in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Company’s national product supply system (collectively with the Company, the “NPSG Members”), pursuant to a national product supply governance agreement executed in 2015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certain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(as amended, the “NPSG Agreement”). The stated objectives of the NPSG include, among others, (i)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system strategic infrastructure investment and divestment planning; (ii) network optimization of plant to distribution center sourcing; and (iii) new product or packaging infrastructure planning.</w:t>
      </w:r>
    </w:p>
    <w:p>
      <w:pPr>
        <w:spacing w:after="0" w:line="178"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4"/>
          <w:szCs w:val="14"/>
          <w:color w:val="auto"/>
        </w:rPr>
        <w:t>Under the NPSG Agreement, the NPSG Members established certain governance mechanisms, including a governing board (the “NPSG Board”) comprised of representatives of certain NPSG Members. The NPSG Board makes and/or oversees and directs certain key decisions regarding the NPSG. Subject to the terms and conditions of the NPSG Agreement, each NPSG Member is required to comply with certain key decisions made by the NPSG Board, which include decisions regarding strategic infrastructure investment and divestment planning, optimal national product supply sourcing and new product or packaging infrastructure planning. We are also obligated to pay a certain portion of the costs of operating the NPSG.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CONA Services LLC</w:t>
      </w:r>
    </w:p>
    <w:p>
      <w:pPr>
        <w:spacing w:after="0" w:line="181" w:lineRule="exact"/>
        <w:rPr>
          <w:sz w:val="20"/>
          <w:szCs w:val="20"/>
          <w:color w:val="auto"/>
        </w:rPr>
      </w:pPr>
    </w:p>
    <w:p>
      <w:pPr>
        <w:ind w:right="80"/>
        <w:spacing w:after="0" w:line="176" w:lineRule="exact"/>
        <w:rPr>
          <w:sz w:val="20"/>
          <w:szCs w:val="20"/>
          <w:color w:val="auto"/>
        </w:rPr>
      </w:pPr>
      <w:r>
        <w:rPr>
          <w:rFonts w:ascii="Times New Roman" w:cs="Times New Roman" w:eastAsia="Times New Roman" w:hAnsi="Times New Roman"/>
          <w:sz w:val="14"/>
          <w:szCs w:val="14"/>
          <w:color w:val="auto"/>
        </w:rPr>
        <w:t>Along with certain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we are a member of CONA Services LLC (“CONA”), an entity formed to provide business process and information technology services to its members. We are party to an amended and restated master services agreement with CONA, pursuant to which CONA agreed to make available, and we became authorized to use, the Coke One North America system (the “CONA System”), a uniform information technology system developed to promote operational efficiency and uniformity among North American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As part of making the CONA System available to us, CONA provides us with certain business process and information technology services, including the planning, development, management and operation of the CONA System in connection with our direct store delivery and manufacture of products. In exchange for our rights to use the CONA System and receive CONA-related services, we are charged service fees by CONA, which we are obligated to pay even if we are not using the CONA System for all or any portion of our distribution and manufacturing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Amended and Restated Ancillary Business Letter</w:t>
      </w:r>
    </w:p>
    <w:p>
      <w:pPr>
        <w:spacing w:after="0" w:line="181" w:lineRule="exact"/>
        <w:rPr>
          <w:sz w:val="20"/>
          <w:szCs w:val="20"/>
          <w:color w:val="auto"/>
        </w:rPr>
      </w:pPr>
    </w:p>
    <w:p>
      <w:pPr>
        <w:ind w:right="200"/>
        <w:spacing w:after="0" w:line="182" w:lineRule="exact"/>
        <w:rPr>
          <w:sz w:val="20"/>
          <w:szCs w:val="20"/>
          <w:color w:val="auto"/>
        </w:rPr>
      </w:pPr>
      <w:r>
        <w:rPr>
          <w:rFonts w:ascii="Times New Roman" w:cs="Times New Roman" w:eastAsia="Times New Roman" w:hAnsi="Times New Roman"/>
          <w:sz w:val="14"/>
          <w:szCs w:val="14"/>
          <w:color w:val="auto"/>
        </w:rPr>
        <w:t>On March 31, 2017, we entered into an amended and restated ancillary business letter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(the “Ancillary Business Letter”), pursuant to which we were granted advance waivers to acquire or develop certain lines of business involving the preparation, distribution, sale, dealing in or otherwise using or handling of certain beverage products that would otherwise be prohibited under the CBA.</w:t>
      </w:r>
    </w:p>
    <w:p>
      <w:pPr>
        <w:spacing w:after="0" w:line="157" w:lineRule="exact"/>
        <w:rPr>
          <w:sz w:val="20"/>
          <w:szCs w:val="20"/>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Under the Ancillary Business Letter, the consent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which consent may not be unreasonably withheld, would be required for us to acquire or develop (i) any grocery, quick service restaurant, or convenience and petroleum store business engaged in the sale of beverages, beverage components and other beverage products not otherwise authorized or permitted by the CBA or (ii) any other line of business for which beverage activities otherwise prohibited under the CBA represent more than a certain threshold of net sales (subject to certain limited exceptions).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auto"/>
        </w:rPr>
        <w:t>Markets Served and Facilities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2022, we served approximately 60 million consumers within our territories, which comprised five principal markets. Certain information regarding each of these markets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38"/>
        </w:trPr>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440" w:type="dxa"/>
            <w:vAlign w:val="bottom"/>
            <w:gridSpan w:val="2"/>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00" w:type="dxa"/>
            <w:vAlign w:val="bottom"/>
            <w:gridSpan w:val="2"/>
            <w:vMerge w:val="continue"/>
          </w:tcPr>
          <w:p>
            <w:pPr>
              <w:spacing w:after="0"/>
              <w:rPr>
                <w:sz w:val="11"/>
                <w:szCs w:val="11"/>
                <w:color w:val="auto"/>
              </w:rPr>
            </w:pPr>
          </w:p>
        </w:tc>
        <w:tc>
          <w:tcPr>
            <w:tcW w:w="14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91"/>
        </w:trPr>
        <w:tc>
          <w:tcPr>
            <w:tcW w:w="1520" w:type="dxa"/>
            <w:vAlign w:val="bottom"/>
            <w:gridSpan w:val="2"/>
            <w:vMerge w:val="continue"/>
          </w:tcPr>
          <w:p>
            <w:pPr>
              <w:spacing w:after="0"/>
              <w:rPr>
                <w:sz w:val="16"/>
                <w:szCs w:val="16"/>
                <w:color w:val="auto"/>
              </w:rPr>
            </w:pPr>
          </w:p>
        </w:tc>
        <w:tc>
          <w:tcPr>
            <w:tcW w:w="6440" w:type="dxa"/>
            <w:vAlign w:val="bottom"/>
            <w:gridSpan w:val="2"/>
            <w:vMerge w:val="continue"/>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Plants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Centers</w:t>
            </w: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Carolinas</w:t>
            </w:r>
          </w:p>
        </w:tc>
        <w:tc>
          <w:tcPr>
            <w:tcW w:w="100" w:type="dxa"/>
            <w:vAlign w:val="bottom"/>
            <w:tcBorders>
              <w:top w:val="single" w:sz="8" w:color="CCEEFF"/>
            </w:tcBorders>
            <w:shd w:val="clear" w:color="auto" w:fill="CCEEFF"/>
          </w:tcPr>
          <w:p>
            <w:pPr>
              <w:spacing w:after="0"/>
              <w:rPr>
                <w:sz w:val="11"/>
                <w:szCs w:val="11"/>
                <w:color w:val="auto"/>
              </w:rPr>
            </w:pPr>
          </w:p>
        </w:tc>
        <w:tc>
          <w:tcPr>
            <w:tcW w:w="63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The majority of North Carolina and South Carolina and portions of southern Virginia, including Boone,</w:t>
            </w: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Charlotte, NC</w:t>
            </w:r>
          </w:p>
        </w:tc>
        <w:tc>
          <w:tcPr>
            <w:tcW w:w="10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17</w:t>
            </w: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Hickory, Mount Airy, Charlotte, Raleigh, Winston-Salem, Greensboro, Fayetteville, Greenville and New Bern,</w:t>
            </w: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North Carolina, Conway, Marion, Charleston, Columbia, Greenville and Ridgeland, South Carolina and</w:t>
            </w: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surrounding areas.</w:t>
            </w: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5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Central</w:t>
            </w:r>
          </w:p>
        </w:tc>
        <w:tc>
          <w:tcPr>
            <w:tcW w:w="644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A significant portion of northeastern Kentucky, the majority of West Virginia and portions of southern Ohio,</w:t>
            </w:r>
          </w:p>
        </w:tc>
        <w:tc>
          <w:tcPr>
            <w:tcW w:w="190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Cincinnati, OH</w:t>
            </w:r>
          </w:p>
        </w:tc>
        <w:tc>
          <w:tcPr>
            <w:tcW w:w="14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southeastern Indiana and southwestern Pennsylvania, including Lexington, Louisville and Pikeville, Kentucky,</w:t>
            </w: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Beckley, Bluefield, Clarksburg, Elkins, Parkersburg, Craigsville and Charleston, West Virginia, Cincinnati and</w:t>
            </w: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Portsmouth, Ohio and surrounding areas.</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520" w:type="dxa"/>
            <w:vAlign w:val="bottom"/>
            <w:gridSpan w:val="2"/>
            <w:shd w:val="clear" w:color="auto" w:fill="CCEEFF"/>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Mid-Atlantic</w:t>
            </w:r>
          </w:p>
        </w:tc>
        <w:tc>
          <w:tcPr>
            <w:tcW w:w="64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The entire state of Maryland, the majority of Virginia and Delaware, the District of Columbia and a portion of</w:t>
            </w:r>
          </w:p>
        </w:tc>
        <w:tc>
          <w:tcPr>
            <w:tcW w:w="1900" w:type="dxa"/>
            <w:vAlign w:val="bottom"/>
            <w:gridSpan w:val="2"/>
            <w:shd w:val="clear" w:color="auto" w:fill="CCEEFF"/>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Baltimore, MD</w:t>
            </w:r>
          </w:p>
        </w:tc>
        <w:tc>
          <w:tcPr>
            <w:tcW w:w="142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11</w:t>
            </w: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south-central Pennsylvania, including Easton, Salisbury, Capitol Heights, Baltimore, Hagerstown and</w:t>
            </w:r>
          </w:p>
        </w:tc>
        <w:tc>
          <w:tcPr>
            <w:tcW w:w="190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Silver Spring, MD</w:t>
            </w: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Cumberland, Maryland, Norfolk, Staunton, Alexandria, Roanoke, Richmond, Yorktown and Fredericksburg,</w:t>
            </w:r>
          </w:p>
        </w:tc>
        <w:tc>
          <w:tcPr>
            <w:tcW w:w="1900" w:type="dxa"/>
            <w:vAlign w:val="bottom"/>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8"/>
              </w:rPr>
              <w:t>Roanoke, VA</w:t>
            </w: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Virginia and surrounding areas.</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Sandston, VA</w:t>
            </w: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5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Mid-South</w:t>
            </w:r>
          </w:p>
        </w:tc>
        <w:tc>
          <w:tcPr>
            <w:tcW w:w="644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A significant portion of central and southern Arkansas and Tennessee and portions of western Kentucky and</w:t>
            </w:r>
          </w:p>
        </w:tc>
        <w:tc>
          <w:tcPr>
            <w:tcW w:w="190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West Memphis, AR</w:t>
            </w:r>
          </w:p>
        </w:tc>
        <w:tc>
          <w:tcPr>
            <w:tcW w:w="14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northwestern Mississippi, including Little Rock and West Memphis, Arkansas, Cleveland, Cookeville, Johnson</w:t>
            </w:r>
          </w:p>
        </w:tc>
        <w:tc>
          <w:tcPr>
            <w:tcW w:w="19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Nashville, TN</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City, Knoxville, Memphis and Morristown, Tennessee, Paducah, Kentucky and surrounding areas.</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20" w:type="dxa"/>
            <w:vAlign w:val="bottom"/>
            <w:gridSpan w:val="2"/>
            <w:shd w:val="clear" w:color="auto" w:fill="CCEEFF"/>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Mid-West</w:t>
            </w:r>
          </w:p>
        </w:tc>
        <w:tc>
          <w:tcPr>
            <w:tcW w:w="64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A significant portion of Indiana and Ohio and a portion of southeastern Illinois, including Anderson,</w:t>
            </w:r>
          </w:p>
        </w:tc>
        <w:tc>
          <w:tcPr>
            <w:tcW w:w="1900" w:type="dxa"/>
            <w:vAlign w:val="bottom"/>
            <w:gridSpan w:val="2"/>
            <w:shd w:val="clear" w:color="auto" w:fill="CCEEFF"/>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Indianapolis, IN</w:t>
            </w:r>
          </w:p>
        </w:tc>
        <w:tc>
          <w:tcPr>
            <w:tcW w:w="142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Whitestown, Evansville, Fort Wayne, Indianapolis and South Bend, Indiana, Akron, Columbus, Dayton, Elyria,</w:t>
            </w:r>
          </w:p>
        </w:tc>
        <w:tc>
          <w:tcPr>
            <w:tcW w:w="190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Twinsburg, OH</w:t>
            </w: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Lima, Mansfield, Toledo, Willoughby and Youngstown, Ohio and surrounding areas.</w:t>
            </w:r>
          </w:p>
        </w:tc>
        <w:tc>
          <w:tcPr>
            <w:tcW w:w="1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60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The Company is also a shareholder of South Atlantic Canners, Inc. (“SAC”), a manufacturing cooperative managed by the Company. SAC is located in Bishopville, South Carolina, and the Company utilizes a portion of the production capacity from the Bishopville manufacturing plant.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Raw Materials</w:t>
      </w:r>
    </w:p>
    <w:p>
      <w:pPr>
        <w:spacing w:after="0" w:line="181" w:lineRule="exact"/>
        <w:rPr>
          <w:sz w:val="20"/>
          <w:szCs w:val="20"/>
          <w:color w:val="auto"/>
        </w:rPr>
      </w:pPr>
    </w:p>
    <w:p>
      <w:pPr>
        <w:ind w:right="420"/>
        <w:spacing w:after="0" w:line="188" w:lineRule="exact"/>
        <w:rPr>
          <w:sz w:val="20"/>
          <w:szCs w:val="20"/>
          <w:color w:val="auto"/>
        </w:rPr>
      </w:pPr>
      <w:r>
        <w:rPr>
          <w:rFonts w:ascii="Times New Roman" w:cs="Times New Roman" w:eastAsia="Times New Roman" w:hAnsi="Times New Roman"/>
          <w:sz w:val="14"/>
          <w:szCs w:val="14"/>
          <w:color w:val="auto"/>
        </w:rPr>
        <w:t>In addition to concentrates purchased from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for use in our beverage manufacturing, we also purchase sweetener, carbon dioxide, plastic bottles, cans, closures and other packaging materials, as well as equipment for the distribution, marketing and production of nonalcoholic beverages.</w:t>
      </w:r>
    </w:p>
    <w:p>
      <w:pPr>
        <w:spacing w:after="0" w:line="156" w:lineRule="exact"/>
        <w:rPr>
          <w:sz w:val="20"/>
          <w:szCs w:val="20"/>
          <w:color w:val="auto"/>
        </w:rPr>
      </w:pPr>
    </w:p>
    <w:p>
      <w:pPr>
        <w:ind w:right="60"/>
        <w:spacing w:after="0" w:line="188" w:lineRule="exact"/>
        <w:rPr>
          <w:sz w:val="20"/>
          <w:szCs w:val="20"/>
          <w:color w:val="auto"/>
        </w:rPr>
      </w:pPr>
      <w:r>
        <w:rPr>
          <w:rFonts w:ascii="Times New Roman" w:cs="Times New Roman" w:eastAsia="Times New Roman" w:hAnsi="Times New Roman"/>
          <w:sz w:val="14"/>
          <w:szCs w:val="14"/>
          <w:color w:val="auto"/>
        </w:rPr>
        <w:t>We purchase all of the plastic bottles used in our manufacturing plants from Southeastern Container and Western Container, two manufacturing cooperatives we co-own with several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and all of our aluminum cans from two domestic suppliers.</w:t>
      </w:r>
    </w:p>
    <w:p>
      <w:pPr>
        <w:spacing w:after="0" w:line="156" w:lineRule="exact"/>
        <w:rPr>
          <w:sz w:val="20"/>
          <w:szCs w:val="20"/>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Along with all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in the United States and Canada, we are a member of Coca-Cola Bottlers’ Sales &amp; Services Company LLC (“CCBSS”), which was formed to provide certain procurement and other services with the intention of enhancing the efficiency and competitiveness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bottling system. CCBSS negotiates the procurement for the majority of our raw materials, excluding concentrate, and we receive a rebate from CCBSS for the purchase of these raw materials.</w:t>
      </w:r>
    </w:p>
    <w:p>
      <w:pPr>
        <w:spacing w:after="0" w:line="178" w:lineRule="exact"/>
        <w:rPr>
          <w:sz w:val="20"/>
          <w:szCs w:val="20"/>
          <w:color w:val="auto"/>
        </w:rPr>
      </w:pPr>
    </w:p>
    <w:p>
      <w:pPr>
        <w:ind w:right="20"/>
        <w:spacing w:after="0" w:line="176" w:lineRule="exact"/>
        <w:rPr>
          <w:sz w:val="20"/>
          <w:szCs w:val="20"/>
          <w:color w:val="auto"/>
        </w:rPr>
      </w:pPr>
      <w:r>
        <w:rPr>
          <w:rFonts w:ascii="Times New Roman" w:cs="Times New Roman" w:eastAsia="Times New Roman" w:hAnsi="Times New Roman"/>
          <w:sz w:val="14"/>
          <w:szCs w:val="14"/>
          <w:color w:val="auto"/>
        </w:rPr>
        <w:t>We are exposed to price risk on commodities such as aluminum, corn and PET resin (a petroleum- or plant-based product), which affects the cost of raw materials used in the production of our finished products. We both produce and procure these finished products. Examples of the raw materials affected are aluminum cans and plastic bottles used for packaging and high fructose corn syrup used as a product ingredient. Further, we are exposed to commodity price risk on crude oil, which impacts our cost of fuel used in the movement and delivery of our products. We participate in commodity hedging and risk mitigation programs, including programs administered by CCBSS and programs we administer. In addition, other than as discussed above, there are no limits on the prices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can charge for concentrate.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auto"/>
        </w:rPr>
        <w:t>Customers and Marketing</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Company’s products are sold and distributed in the United States through various channels, which include selling directly to customers, including grocery stores, mass merchandise stores, club stores, convenience stores and drug stores, selling to on-premise locations, where products are typically consumed immediately, such as restaurants, schools, amusement parks and recreational facilities, and selling through other channels such as vending machine outlets.</w:t>
      </w:r>
    </w:p>
    <w:p>
      <w:pPr>
        <w:spacing w:after="0" w:line="15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percentage of the Company’s total bottle/can sales volume to its largest customers, as well as the percentage of the Company’s total net sales that such volume represents:</w:t>
      </w:r>
    </w:p>
    <w:p>
      <w:pPr>
        <w:spacing w:after="0" w:line="17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gridSpan w:val="2"/>
          </w:tcPr>
          <w:p>
            <w:pPr>
              <w:spacing w:after="0"/>
              <w:rPr>
                <w:sz w:val="14"/>
                <w:szCs w:val="14"/>
                <w:color w:val="auto"/>
              </w:rPr>
            </w:pPr>
          </w:p>
        </w:tc>
        <w:tc>
          <w:tcPr>
            <w:tcW w:w="138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4"/>
                <w:szCs w:val="14"/>
                <w:color w:val="auto"/>
              </w:rPr>
            </w:pPr>
          </w:p>
        </w:tc>
      </w:tr>
      <w:tr>
        <w:trPr>
          <w:trHeight w:val="171"/>
        </w:trPr>
        <w:tc>
          <w:tcPr>
            <w:tcW w:w="7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percent of the Company’s total bottle/can sales volume:</w:t>
            </w: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r>
      <w:tr>
        <w:trPr>
          <w:trHeight w:val="180"/>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Wal-Mart Stores, Inc.</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Kroger Company</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approximate percent of the Company’s total bottle/can sales volume</w:t>
            </w:r>
          </w:p>
        </w:tc>
        <w:tc>
          <w:tcPr>
            <w:tcW w:w="13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32 %</w:t>
            </w:r>
          </w:p>
        </w:tc>
        <w:tc>
          <w:tcPr>
            <w:tcW w:w="80" w:type="dxa"/>
            <w:vAlign w:val="bottom"/>
          </w:tcPr>
          <w:p>
            <w:pPr>
              <w:spacing w:after="0"/>
              <w:rPr>
                <w:sz w:val="14"/>
                <w:szCs w:val="14"/>
                <w:color w:val="auto"/>
              </w:rPr>
            </w:pPr>
          </w:p>
        </w:tc>
        <w:tc>
          <w:tcPr>
            <w:tcW w:w="1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33 %</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31"/>
        </w:trPr>
        <w:tc>
          <w:tcPr>
            <w:tcW w:w="7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80"/>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percent of the Company’s total net sales: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Wal-Mart Stores, Inc.</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The Kroger Company</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approximate percent of the Company’s total net sales</w:t>
            </w:r>
          </w:p>
        </w:tc>
        <w:tc>
          <w:tcPr>
            <w:tcW w:w="13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23 %</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loss of Wal-Mart Stores, Inc. or The Kroger Company as a customer could have a material adverse effect on the operating and financial results of the Company. No other customer represented greater than 10% of the Company’s total net sales or would impose a material adverse effect on the operating or financial results of the Company should they cease to be a customer of the Company.</w:t>
      </w:r>
    </w:p>
    <w:p>
      <w:pPr>
        <w:spacing w:after="0" w:line="145" w:lineRule="exact"/>
        <w:rPr>
          <w:sz w:val="20"/>
          <w:szCs w:val="20"/>
          <w:color w:val="auto"/>
        </w:rPr>
      </w:pPr>
    </w:p>
    <w:p>
      <w:pPr>
        <w:jc w:val="both"/>
        <w:ind w:right="460"/>
        <w:spacing w:after="0" w:line="185" w:lineRule="exact"/>
        <w:rPr>
          <w:sz w:val="20"/>
          <w:szCs w:val="20"/>
          <w:color w:val="auto"/>
        </w:rPr>
      </w:pPr>
      <w:r>
        <w:rPr>
          <w:rFonts w:ascii="Times New Roman" w:cs="Times New Roman" w:eastAsia="Times New Roman" w:hAnsi="Times New Roman"/>
          <w:sz w:val="14"/>
          <w:szCs w:val="14"/>
          <w:color w:val="auto"/>
        </w:rPr>
        <w:t>New brand and product introductions, packaging changes and sales promotions are the primary sales and marketing practices in the nonalcoholic beverage industry and have required, and are expected to continue to require, substantial expenditures. Recent introductions include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Creations, Dr Pepper &amp; Cream Soda, fairlife milk products and Minute Maid Aguas Frescas.</w:t>
      </w:r>
    </w:p>
    <w:p>
      <w:pPr>
        <w:spacing w:after="0" w:line="16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We sell our products primarily in single-use, recyclable bottles and cans, in varying package configurations from market to market. For example, there may be up to 26 different packages for Diet Coke within a single geographic area. Total bottle/can sales volume to retail customers during 2022 was approximately 51% bottles and 49% cans.</w:t>
      </w:r>
    </w:p>
    <w:p>
      <w:pPr>
        <w:spacing w:after="0" w:line="124" w:lineRule="exact"/>
        <w:rPr>
          <w:sz w:val="20"/>
          <w:szCs w:val="20"/>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We rely extensively on advertising in various media outlets, primarily online, television and radio, for the marketing of our products.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Dr Pepper and Monster Energy make substantial expenditures on advertising programs in our territories from which we benefit. Although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have provided us with marketing funding support in the past, our beverage agreements generally do not obligate such funding.</w:t>
      </w:r>
    </w:p>
    <w:p>
      <w:pPr>
        <w:spacing w:after="0" w:line="178" w:lineRule="exact"/>
        <w:rPr>
          <w:sz w:val="20"/>
          <w:szCs w:val="20"/>
          <w:color w:val="auto"/>
        </w:rPr>
      </w:pPr>
    </w:p>
    <w:p>
      <w:pPr>
        <w:ind w:right="40"/>
        <w:spacing w:after="0" w:line="175" w:lineRule="exact"/>
        <w:rPr>
          <w:sz w:val="20"/>
          <w:szCs w:val="20"/>
          <w:color w:val="auto"/>
        </w:rPr>
      </w:pPr>
      <w:r>
        <w:rPr>
          <w:rFonts w:ascii="Times New Roman" w:cs="Times New Roman" w:eastAsia="Times New Roman" w:hAnsi="Times New Roman"/>
          <w:sz w:val="14"/>
          <w:szCs w:val="14"/>
          <w:color w:val="auto"/>
        </w:rPr>
        <w:t>We also expend substantial funds on our own behalf for extensive local sales promotions of our products. Historically, these expenses have been partially offset by marketing funding support provided to us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in support of a variety of marketing programs, such as point-of-sale displays and merchandising programs. We consider the funds we expend for marketing and merchandising programs necessary to maintain or increase revenue.</w:t>
      </w:r>
    </w:p>
    <w:p>
      <w:pPr>
        <w:spacing w:after="0" w:line="17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addition to our marketing and merchandising programs, we believe a sustained and planned charitable giving program to support the communities we serve is an essential component to the success of our brand and, by extension, our net sales. In 2022, the Company made cash donations of approximately $37 million to various charities and donor-advised funds in light of the Company’s financial performance, distribution territory footprint and future business prospects. The Company intends to continue its charitable contributions in future years, subject to the Company’s financial performance and other business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Seasonality</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Business seasonality results primarily from higher unit sales of the Company’s products in the second and third quarters of the fiscal year, as sales of our products are typically correlated with warmer weather. We believe that we and other manufacturers from whom we purchase finished products have adequate production capacity to meet sales demand for sparkling and still beverages during these peak periods. See “Item 2. Properties” for information relating to utilization of our manufacturing plants. Sales volume can also be impacted by weather conditions. Fixed costs, such as depreciation expense, are not significantly impacted by business seasonality.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Competition</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nonalcoholic beverage industry is highly competitive for both sparkling and still beverages. Our competitors include bottlers and distributors of nationally and regionally advertised and marketed products, as well as bottlers and distributors of private label beverages. Our principal competitors include local bottlers of PepsiCo, Inc. products and, in some regions, local bottlers of Dr Pepper products.</w:t>
      </w:r>
    </w:p>
    <w:p>
      <w:pPr>
        <w:spacing w:after="0" w:line="15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principal methods of competition in the nonalcoholic beverage industry are new brand and product introductions, point-of-sale merchandising, new vending and dispensing equipment, packaging changes, pricing, sales promotions, product quality, retail space management, customer service, frequency of distribution and advertising. We believe we are competitive in our territories with respect to these methods of competition.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Government Regulation</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Our business is subject to various laws and regulations administered by federal, state and local government agencies of the United States, including laws and regulations governing the production, storage, distribution, sale, display, advertising, marketing, packaging, labeling, content, quality and safety of our products, our occupational health and safety practices and the transportation and use of many of our products.</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are required to comply with a variety of U.S. laws and regulations, including, but not limited to: the Federal Food, Drug and Cosmetic Act and various state laws governing food safety; the Food Safety Modernization Act; the Occupational Safety and Health Act; the Clean Air Act; the Clean Water Act; the Resource Conservation and Recovery Act; the Comprehensive Environmental Response, Compensation and Liability Act; the Federal Motor Carrier Safety Act; the Lanham Act; various federal and state laws and regulations governing competition and trade practices; various federal and state laws and regulations governing our employment practices, including those related to equal employment opportunity, such as the Equal Employment Opportunity Act and the National Labor Relations Act; and laws and regulations restricting the sale of certain of our products in schools.</w:t>
      </w:r>
    </w:p>
    <w:p>
      <w:pPr>
        <w:spacing w:after="0" w:line="143" w:lineRule="exact"/>
        <w:rPr>
          <w:sz w:val="20"/>
          <w:szCs w:val="20"/>
          <w:color w:val="auto"/>
        </w:rPr>
      </w:pPr>
    </w:p>
    <w:p>
      <w:pPr>
        <w:ind w:right="160"/>
        <w:spacing w:after="0" w:line="179" w:lineRule="exact"/>
        <w:rPr>
          <w:sz w:val="20"/>
          <w:szCs w:val="20"/>
          <w:color w:val="auto"/>
        </w:rPr>
      </w:pPr>
      <w:r>
        <w:rPr>
          <w:rFonts w:ascii="Times New Roman" w:cs="Times New Roman" w:eastAsia="Times New Roman" w:hAnsi="Times New Roman"/>
          <w:sz w:val="14"/>
          <w:szCs w:val="14"/>
          <w:color w:val="auto"/>
        </w:rPr>
        <w:t>As a manufacturer, distributor and seller of beverage products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in exclusive territories, we are subject to antitrust laws of general applicability. However, pursuant to the United States Soft Drink Interbrand Competition Act, soft drink bottlers, such as us, are permitted to have exclusive rights to manufacture, distribute and sell soft drink products in a defined geographic territory if that soft drink product is in substantial and effective competition with other products of the same general class in the market. We believe such competition exists in each of the exclusive geographic territories in the United States in which we operate.</w:t>
      </w:r>
    </w:p>
    <w:p>
      <w:pPr>
        <w:spacing w:after="0" w:line="17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In response to growing health, nutrition and wellness concerns for today’s youth, a number of states and local governments have regulations restricting the sale of soft drinks and other foods in schools, particularly elementary, middle and high schools. Many of these restrictions have existed for several years in connection with subsidized meal programs in schools. Additionally, legislation has been proposed by certain state and local governments to limit or restrict the sale of energy drinks to minors and/or persons below a specified age and/or to restrict the venues in which energy drinks can be sold. Restrictive legislation, if widely enacted, could have an adverse impact on our products, sales and reputation.</w:t>
      </w:r>
    </w:p>
    <w:p>
      <w:pPr>
        <w:spacing w:after="0" w:line="162"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4"/>
          <w:szCs w:val="14"/>
          <w:color w:val="auto"/>
        </w:rPr>
        <w:t>Most beverage products sold by the Company are classified as food or food products and are therefore eligible for purchase using supplemental nutrition assistance program (“SNAP”) benefits by consumers purchasing them for home consumption. Energy drinks with a nutrition facts label are also classified as food and are eligible for purchase for home consumption using SNAP benefits, whereas energy drinks classified as a supplement by the United States Food and Drug Administration (the “FDA”) are not. Regulators may restrict the use of benefit programs, including SNAP, to purchase certain beverages and foods currently classified as food or food products.</w:t>
      </w:r>
    </w:p>
    <w:p>
      <w:pPr>
        <w:spacing w:after="0" w:line="16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Certain jurisdictions in which our products are sold have imposed, or are considering imposing, taxes, labeling requirements or other limitations on, or regulations pertaining to, the sale of certain of our products, ingredients or substances contained in, or attributes of, our products or commodities used in the manufacture of our products, including certain of our products that contain added sugars or sodium, exceed a specified caloric count or include specified ingredients such as caffeine.</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Legislation has been proposed in Congress and by certain state and local governments which would prohibit the sale of soft drink products in non-refillable bottles and cans or require a mandatory deposit as a means of encouraging the return of such containers, each in an attempt to reduce solid waste and litter. Similarly, we are aware of proposed legislation that would impose fees or taxes on various types of containers that are used in our business, as well as proposed legislation around new recycling regulations and the reduction of single-use plastics. We are not currently impacted by the policies in these types of proposed legislation, but it is possible that similar or more restrictive legal requirements may be proposed or enacted within our distribution territories in the future.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8" w:name="page9"/>
    <w:bookmarkEnd w:id="8"/>
    <w:p>
      <w:pPr>
        <w:jc w:val="both"/>
        <w:spacing w:after="0" w:line="270" w:lineRule="auto"/>
        <w:rPr>
          <w:sz w:val="20"/>
          <w:szCs w:val="20"/>
          <w:color w:val="auto"/>
        </w:rPr>
      </w:pPr>
      <w:r>
        <w:rPr>
          <w:rFonts w:ascii="Times New Roman" w:cs="Times New Roman" w:eastAsia="Times New Roman" w:hAnsi="Times New Roman"/>
          <w:sz w:val="14"/>
          <w:szCs w:val="14"/>
          <w:color w:val="auto"/>
        </w:rPr>
        <w:t>We are also subject to federal, state and local environmental laws, including laws related to water consumption and treatment, wastewater discharge and air emissions. Our facilities must comply with the Clean Air Act, the Clean Water Act, the Comprehensive Environmental Response, Compensation and Liability Act, the Resource Conservation and Recovery Act and other federal, state and local laws regarding handling, storage, release and disposal of wastes generated on-site and sent to third-party owned and operated off-site licensed facilities.</w:t>
      </w:r>
    </w:p>
    <w:p>
      <w:pPr>
        <w:spacing w:after="0" w:line="157"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We do not currently have any material commitments for environmental compliance or environmental remediation for any of our properties. We do not believe compliance with enacted or adopted federal, state and local provisions pertaining to the discharge of materials into the environment or otherwise relating to the protection of the environment will have a material adverse impact on our consolidated financial statements or our competitive position.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Human Capital Resources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At Coca-Cola Consolidated, our teammates are the heart of our business and the key to our success. As of December 31, 2022, we employed approximately 17,000 employees which we refer to as “teammates,” of which approximately 15,000 were full-time and approximately 2,000 were part-time. Approximately 13% of our workforce is covered by collective bargaining agreements. While the number of collective bargaining agreements that will expire in any given year varies, we have been successful in the past in negotiating renewals to expiring agreements without any material disruption to our operations, and management considers teammate relations to be good.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Purpose and Culture</w:t>
      </w:r>
    </w:p>
    <w:p>
      <w:pPr>
        <w:spacing w:after="0" w:line="181" w:lineRule="exact"/>
        <w:rPr>
          <w:sz w:val="20"/>
          <w:szCs w:val="20"/>
          <w:color w:val="auto"/>
        </w:rPr>
      </w:pPr>
    </w:p>
    <w:p>
      <w:pPr>
        <w:ind w:right="20"/>
        <w:spacing w:after="0" w:line="177" w:lineRule="exact"/>
        <w:rPr>
          <w:sz w:val="20"/>
          <w:szCs w:val="20"/>
          <w:color w:val="auto"/>
        </w:rPr>
      </w:pPr>
      <w:r>
        <w:rPr>
          <w:rFonts w:ascii="Times New Roman" w:cs="Times New Roman" w:eastAsia="Times New Roman" w:hAnsi="Times New Roman"/>
          <w:sz w:val="14"/>
          <w:szCs w:val="14"/>
          <w:color w:val="auto"/>
        </w:rPr>
        <w:t>We believe a strong and clear purpose is the foundation to a strong culture and critical to the long-term success of the business. At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Consolidated, we strive to fulfill our Purpose – To honor God in all we do, to serve others, to pursue excellence and to grow profitably. As a waypoint to help guide us along this journey is our Operating Destination – One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Cola Consolidated Team, consistently generating strong cash flow, while empowering the next generation of diverse servant leaders. At the core of our culture is a focus on service. We want teammates to recognize and embrace a passion for serving each other along with our consumers, our customers and our communities. Through our </w:t>
      </w:r>
      <w:r>
        <w:rPr>
          <w:rFonts w:ascii="Times New Roman" w:cs="Times New Roman" w:eastAsia="Times New Roman" w:hAnsi="Times New Roman"/>
          <w:sz w:val="14"/>
          <w:szCs w:val="14"/>
          <w:i w:val="1"/>
          <w:iCs w:val="1"/>
          <w:color w:val="auto"/>
        </w:rPr>
        <w:t>Coke Cares</w:t>
      </w:r>
      <w:r>
        <w:rPr>
          <w:rFonts w:ascii="Times New Roman" w:cs="Times New Roman" w:eastAsia="Times New Roman" w:hAnsi="Times New Roman"/>
          <w:sz w:val="14"/>
          <w:szCs w:val="14"/>
          <w:color w:val="auto"/>
        </w:rPr>
        <w:t xml:space="preserve"> program, we provide opportunities for our teammates to be involved in stewardship, charitable and community activities as a way to serve our communities.</w:t>
      </w:r>
    </w:p>
    <w:p>
      <w:pPr>
        <w:spacing w:after="0" w:line="179"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We recognize the personal challenges and difficulties facing our teammates each day, and how it may be difficult for them to discuss their struggles with other teammates. Through our corporate chaplaincy program and our employee assistance program, we provide resources for our teammates to engage with a third party in a personal and confidential manner to discuss their personal challenges. These programs are administered by third parties and are valuable resources to help enhance emotional wellness, reduce stress and increase productivity.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Talent Acquisition, Development and Retention</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success and growth of our business depend in a large part on our ability to execute on our talent strategy which is to be a purpose driven organization that attracts, engages and grows a highly talented, diverse workforce of servant leaders enabling our growth and performance. To meet our talent objectives, we utilize key strategies and processes related to recruitment, onboarding and learning development. Through our Total Rewards Program, we strive to offer competitive compensation, benefits and services to our full-time teammates, including incentive plans, recognition plans, defined contribution plans, healthcare benefits, tax-advantaged spending accounts, corporate chaplaincy and employee assistance programs and other programs. Management monitors market compensation and benefits to be able to attract, retain and promote teammates and reduce turnover and its associated costs.</w:t>
      </w:r>
    </w:p>
    <w:p>
      <w:pPr>
        <w:spacing w:after="0" w:line="1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recent years, the Company has faced periods of high teammate turnover, periodic labor shortages and wage inflation in our front-line workforce due to tight conditions in the labor market. The Company responded to these challenges by making certain investments in our teammates to reward them for their contributions in achieving strong operating results and to remain competitive in the current labor environment.</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a learning organization committed to the goal of continuous improvement and the development of our teams and teammates. To empower our teammates to unlock their potential, we offer a wide range of learning experiences and resources. Our teammate onboarding experiences involve online learning, job-specific training and on-the-job development to learn about our Company, our products and our industry. Job-specific training includes activity-based classes that focus on how teammates can safely and efficiently sell, merchandise and display our products. After onboarding, our teammates may participate in numerous learning experiences offered by the Company to help them develop and improve their skills and capabilities to advance in their careers, including at one of our two dedicated experiential learning centers where teammates can develop and grow their skills through a hands-on experience. We provide a leadership program designed to challenge and grow our future servant leaders through a series of learning experiences, including on-the-job training, mentorship, peer coaching and formal leadership courses. This program focuses on developing</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9" w:name="page10"/>
    <w:bookmarkEnd w:id="9"/>
    <w:p>
      <w:pPr>
        <w:spacing w:after="0" w:line="161" w:lineRule="exact"/>
        <w:rPr>
          <w:sz w:val="20"/>
          <w:szCs w:val="20"/>
          <w:color w:val="auto"/>
        </w:rPr>
      </w:pPr>
      <w:r>
        <w:rPr>
          <w:rFonts w:ascii="Times New Roman" w:cs="Times New Roman" w:eastAsia="Times New Roman" w:hAnsi="Times New Roman"/>
          <w:sz w:val="14"/>
          <w:szCs w:val="14"/>
          <w:color w:val="auto"/>
        </w:rPr>
        <w:t>leadership skills, building cohesive teams and strengthening business acumen to prepare teammates for a leadership position at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Consolidated.</w:t>
      </w:r>
    </w:p>
    <w:p>
      <w:pPr>
        <w:spacing w:after="0" w:line="2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An important part of attracting and retaining top talent is teammate satisfaction, and we conduct an annual engagement survey administered and analyzed by an independent third party to assess teammate satisfaction and engagement and the effectiveness of our teammate development and compensation programs. In 2022, 79% of our teammates participated in the survey. This survey provides valuable insight to our leaders about how our teammates experience the Company and how we can better serve them and improve job performance, satisfaction and retention. Our executive officers review the survey results and develop and implement specific action plans to address key areas of opportunity. Additionally, leaders across our Company discuss the results with local managers to develop additional action plans to best address teammate feedback in different market units and functional areas.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Health and Safety</w:t>
      </w:r>
    </w:p>
    <w:p>
      <w:pPr>
        <w:spacing w:after="0" w:line="202"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One of our top priorities is protecting the health and safety of our teammates. We are committed to operating in a safe, secure and responsible manner for the benefit of our consumers, customers, teammates and communities. We sponsor a number of programs and initiatives designed to reduce the frequency and severity of workplace injuries, incidents, risks and hazards, including safety committees, Company policies and procedures, coaching and training, and awareness through leadership engagement and messaging.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Diversity and Inclusion</w:t>
      </w:r>
    </w:p>
    <w:p>
      <w:pPr>
        <w:spacing w:after="0" w:line="202" w:lineRule="exact"/>
        <w:rPr>
          <w:sz w:val="20"/>
          <w:szCs w:val="20"/>
          <w:color w:val="auto"/>
        </w:rPr>
      </w:pPr>
    </w:p>
    <w:p>
      <w:pPr>
        <w:ind w:right="20"/>
        <w:spacing w:after="0" w:line="173" w:lineRule="exact"/>
        <w:rPr>
          <w:sz w:val="20"/>
          <w:szCs w:val="20"/>
          <w:color w:val="auto"/>
        </w:rPr>
      </w:pPr>
      <w:r>
        <w:rPr>
          <w:rFonts w:ascii="Times New Roman" w:cs="Times New Roman" w:eastAsia="Times New Roman" w:hAnsi="Times New Roman"/>
          <w:sz w:val="14"/>
          <w:szCs w:val="14"/>
          <w:color w:val="auto"/>
        </w:rPr>
        <w:t>We strive to cultivate diversity in our workforce and believe teammates with diverse backgrounds, experiences and viewpoints bring value to our organization. We have a diversity task force comprised of diverse teammates from across the organization and led by our President and Chief Operating Officer with a focus on cultivating diversity at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Consolidated. This task force developed a diversity framework focused on four pillars – communication, accountability, empowerment and partnerships. The task force and discussion groups led by our senior executive leadership team strive to enhance Company-wide engagement on diversity and inclusion, provide opportunities for teammates to discuss diversity and inclusion, develop initiatives to support our diversity framework and monitor progress across these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Exchange Act Reports</w:t>
      </w:r>
    </w:p>
    <w:p>
      <w:pPr>
        <w:spacing w:after="0" w:line="200" w:lineRule="exact"/>
        <w:rPr>
          <w:sz w:val="20"/>
          <w:szCs w:val="20"/>
          <w:color w:val="auto"/>
        </w:rPr>
      </w:pPr>
    </w:p>
    <w:p>
      <w:pPr>
        <w:ind w:right="180"/>
        <w:spacing w:after="0" w:line="174" w:lineRule="exact"/>
        <w:rPr>
          <w:sz w:val="20"/>
          <w:szCs w:val="20"/>
          <w:color w:val="auto"/>
        </w:rPr>
      </w:pPr>
      <w:r>
        <w:rPr>
          <w:rFonts w:ascii="Times New Roman" w:cs="Times New Roman" w:eastAsia="Times New Roman" w:hAnsi="Times New Roman"/>
          <w:sz w:val="14"/>
          <w:szCs w:val="14"/>
          <w:color w:val="auto"/>
        </w:rPr>
        <w:t xml:space="preserve">Our website is </w:t>
      </w:r>
      <w:r>
        <w:rPr>
          <w:rFonts w:ascii="Times New Roman" w:cs="Times New Roman" w:eastAsia="Times New Roman" w:hAnsi="Times New Roman"/>
          <w:sz w:val="14"/>
          <w:szCs w:val="14"/>
          <w:i w:val="1"/>
          <w:iCs w:val="1"/>
          <w:color w:val="auto"/>
        </w:rPr>
        <w:t>www.cokeconsolidated.com</w:t>
      </w:r>
      <w:r>
        <w:rPr>
          <w:rFonts w:ascii="Times New Roman" w:cs="Times New Roman" w:eastAsia="Times New Roman" w:hAnsi="Times New Roman"/>
          <w:sz w:val="14"/>
          <w:szCs w:val="14"/>
          <w:color w:val="auto"/>
        </w:rPr>
        <w:t xml:space="preserve"> and we make available free of charge through the investor relations portion of our website our Annual Report on Form 10-K, Quarterly Reports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Current Reports on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and any amendments to these reports, as well as proxy statements and other information. These documents are available on our website as soon as reasonably practicable after such documents are electronically filed with, or furnished to, the United States Securities and Exchange Commission (the “SEC”). The information on our website or linked to or from our website is not incorporated by reference into, and does not constitute a part of, this report or any other documents we file with, or furnish to, the SEC.</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use our website to distribute information, including as a means of disclosing material, nonpublic information and for complying with our disclosure obligations under Regulation FD. We routinely post and make accessible financial and other information regarding the Company on our website. Accordingly, investors should monitor the investor relations portion of our website, in addition to our press releases, SEC filings and other public communications.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SEC also maintains a website,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that contains reports, proxy and information statements, and other information regarding issuers that file electronically with the SEC.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addition to other information in this report, the following risk factors should be considered carefully in evaluating the Company’s business. The Company’s business, financial condition or results of operations could be materially and adversely affected by any of these risks.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 and results of operations may be adversely affected by increased costs, disruption of supply or unavailability or shortages of raw materials, fuel and other supplies.</w:t>
      </w:r>
    </w:p>
    <w:p>
      <w:pPr>
        <w:spacing w:after="0" w:line="20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Raw material costs, including the costs for plastic bottles, aluminum cans, PET resin, carbon dioxide and high fructose corn syrup, are subject to significant price volatility, which may be worsened by periods of increased demand, supply constraints or high inflation. International or domestic geopolitical or other events, including armed conflict or the imposition of tariffs and/or quotas by the U.S. government on any of these raw materials, could adversely impact the supply and cost of these raw materials to the Company. In</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10" w:name="page11"/>
    <w:bookmarkEnd w:id="10"/>
    <w:p>
      <w:pPr>
        <w:spacing w:after="0" w:line="174" w:lineRule="exact"/>
        <w:rPr>
          <w:sz w:val="20"/>
          <w:szCs w:val="20"/>
          <w:color w:val="auto"/>
        </w:rPr>
      </w:pPr>
      <w:r>
        <w:rPr>
          <w:rFonts w:ascii="Times New Roman" w:cs="Times New Roman" w:eastAsia="Times New Roman" w:hAnsi="Times New Roman"/>
          <w:sz w:val="14"/>
          <w:szCs w:val="14"/>
          <w:color w:val="auto"/>
        </w:rPr>
        <w:t>recent years, the COVID-19 pandemic resulted in certain raw materials not being available at commercially favorable terms or at all, and future pandemics or other events causing widespread supply chain disruption may also have such an effect. In addition, there are no limits on the prices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can charge for concentrate. If the Company cannot offset higher raw material costs with higher selling prices, effective commodity price hedging, increased sales volume or reductions in other costs, the Company’s results of operations and profitability could be adversely affected.</w:t>
      </w:r>
    </w:p>
    <w:p>
      <w:pPr>
        <w:spacing w:after="0" w:line="17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Limited suppliers for certain of the Company’s raw materials could have an adverse effect on the Company’s ability to negotiate the lowest costs and, in light of the Company’s relatively low in-plant raw material inventory levels, has the potential for causing interruptions in the Company’s supply of raw materials and in its manufacture of finished goods. For example, during 2022, the Company experienced intermittent shortages of carbon dioxide supply that caused work stoppages at certain of its manufacturing facilities. These work stoppages were offset by increased production at other facilities, but similar stoppages in the future could adversely affect the Company’s results of operations and profitability.</w:t>
      </w:r>
    </w:p>
    <w:p>
      <w:pPr>
        <w:spacing w:after="0" w:line="16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 uses significant amounts of fuel for its delivery fleet and other vehicles used in the distribution of its products. International or domestic geopolitical or other events could impact the supply and cost of fuel and the timely delivery of the Company’s products to its customers. Although the Company strives to reduce fuel consumption and uses commodity hedges to manage the Company’s fuel costs, there can be no assurance the Company will succeed in limiting the impact of fuel price increases or price volatility on the Company’s business or future cost increases, which could reduce the profitability of the Company’s operations.</w:t>
      </w:r>
    </w:p>
    <w:p>
      <w:pPr>
        <w:spacing w:after="0" w:line="162"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The Company uses a combination of internal and external freight shipping and transportation services to transport and deliver products. The Company’s freight cost and the timely delivery of its products may be adversely impacted by a number of factors which could reduce the profitability of the Company’s operations, including driver shortages, reduced availability of independent contractor drivers, higher fuel costs, weather conditions, traffic congestion, increased government regulation and other matters.</w:t>
      </w:r>
    </w:p>
    <w:p>
      <w:pPr>
        <w:spacing w:after="0" w:line="157" w:lineRule="exact"/>
        <w:rPr>
          <w:sz w:val="20"/>
          <w:szCs w:val="20"/>
          <w:color w:val="auto"/>
        </w:rPr>
      </w:pPr>
    </w:p>
    <w:p>
      <w:pPr>
        <w:ind w:right="60"/>
        <w:spacing w:after="0" w:line="173" w:lineRule="exact"/>
        <w:rPr>
          <w:sz w:val="20"/>
          <w:szCs w:val="20"/>
          <w:color w:val="auto"/>
        </w:rPr>
      </w:pPr>
      <w:r>
        <w:rPr>
          <w:rFonts w:ascii="Times New Roman" w:cs="Times New Roman" w:eastAsia="Times New Roman" w:hAnsi="Times New Roman"/>
          <w:sz w:val="14"/>
          <w:szCs w:val="14"/>
          <w:color w:val="auto"/>
        </w:rPr>
        <w:t>The Company purchases all of the plastic bottles used in its manufacturing plants from Southeastern Container and Western Container, two manufacturing cooperatives the Company co-owns with several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and all of its aluminum cans from two domestic suppliers. The inability of these suppliers to meet the Company’s requirements for containers could result in the Company not being able to fulfill customer orders and production demand until alternative sources of supply are located. The Company attempts to mitigate these risks by working closely with key suppliers and by purchasing business interruption insurance where appropriate. Failure of the plastic bottle or aluminum can suppliers to meet the Company’s purchase requirements could negatively impact inventory levels, customer confidence and results of operations, including sales levels and profitability.</w:t>
      </w:r>
    </w:p>
    <w:p>
      <w:pPr>
        <w:spacing w:after="0" w:line="17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continues to make significant reinvestments in its business in order to evolve its operating model and to accommodate future growth and portfolio expansion, including supply chain optimization. The increased costs associated with these reinvestments, the potential for disruption in manufacturing and distribution and the risk the Company may not realize a satisfactory return on its investments could adversely affect the Company’s business, financial condition or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reliance on purchased finished products from external sources could have an adverse impact on the Company’s profitability.</w:t>
      </w:r>
    </w:p>
    <w:p>
      <w:pPr>
        <w:spacing w:after="0" w:line="202" w:lineRule="exact"/>
        <w:rPr>
          <w:sz w:val="20"/>
          <w:szCs w:val="20"/>
          <w:color w:val="auto"/>
        </w:rPr>
      </w:pPr>
    </w:p>
    <w:p>
      <w:pPr>
        <w:ind w:right="80"/>
        <w:spacing w:after="0" w:line="172" w:lineRule="exact"/>
        <w:rPr>
          <w:sz w:val="20"/>
          <w:szCs w:val="20"/>
          <w:color w:val="auto"/>
        </w:rPr>
      </w:pPr>
      <w:r>
        <w:rPr>
          <w:rFonts w:ascii="Times New Roman" w:cs="Times New Roman" w:eastAsia="Times New Roman" w:hAnsi="Times New Roman"/>
          <w:sz w:val="14"/>
          <w:szCs w:val="14"/>
          <w:color w:val="auto"/>
        </w:rPr>
        <w:t>The Company does not, and does not plan to, manufacture all of the products it distributes and, therefore, remains reliant on purchased finished products from external sources to meet customer demand. As a result, the Company is subject to incremental risk, including, but not limited to, product quality and availability, price variability and production capacity shortfalls for externally purchased finished products, which could have an impact on the Company’s profitability and customer relationships. Particularly, the Company is subject to the risk of unavailability of still products that it acquires from other manufacturers, leading to an inability to meet consumer demand for these products. In most instances, the Company’s ability to negotiate the prices at which it purchases finished products from other U.S.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is limited pursuant to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Company’s right to unilaterally establish the prices, or certain elements of the formulas used to determine the prices, for such finished products under the RMA, which could have an adverse impact on the Company’s profitability.</w:t>
      </w:r>
    </w:p>
    <w:p>
      <w:pPr>
        <w:spacing w:after="0" w:line="177"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public and consumer perception and preferences, including concerns related to product safety and sustainability, artificial ingredients, brand reputation and obesity, could reduce demand for the Company’s products and reduce profitability.</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Concerns about perceived negative safety and quality consequences of certain ingredients in the Company’s products, such as non-nutritive sweeteners or ingredients in energy drinks, may erode consumers’ confidence in the safety and quality of the Company’s products, whether or not justified. The Company’s business is also impacted by changes in consumer concerns or perceptions surrounding the product manufacturing processes and packaging materials, including single-use and other plastic packaging, and the environmental and sustainability impact of such manufacturing processes and packaging materials. Any of these factors may reduce consumers’ willingness to purchase the Company’s products and any inability on the part of the Company to anticipate or react to such</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11" w:name="page12"/>
    <w:bookmarkEnd w:id="11"/>
    <w:p>
      <w:pPr>
        <w:ind w:right="440"/>
        <w:spacing w:after="0" w:line="287" w:lineRule="auto"/>
        <w:rPr>
          <w:sz w:val="20"/>
          <w:szCs w:val="20"/>
          <w:color w:val="auto"/>
        </w:rPr>
      </w:pPr>
      <w:r>
        <w:rPr>
          <w:rFonts w:ascii="Times New Roman" w:cs="Times New Roman" w:eastAsia="Times New Roman" w:hAnsi="Times New Roman"/>
          <w:sz w:val="14"/>
          <w:szCs w:val="14"/>
          <w:color w:val="auto"/>
        </w:rPr>
        <w:t>changes could result in reduced demand for the Company’s products or erode the Company’s competitive and financial position and could adversely affect the Company’s business, reputation, financial condition or results of operations.</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Company’s success depends on its ability to maintain consumer confidence in the safety and quality of all of its products. The Company has rigorous product safety and quality standards. However, if beverage products taken to market are or become contaminated or adulterated, the Company may be required to conduct costly product recalls and may become subject to product liability claims and negative publicity, which could cause its business and reputation to suffer.</w:t>
      </w:r>
    </w:p>
    <w:p>
      <w:pPr>
        <w:spacing w:after="0" w:line="136" w:lineRule="exact"/>
        <w:rPr>
          <w:sz w:val="20"/>
          <w:szCs w:val="20"/>
          <w:color w:val="auto"/>
        </w:rPr>
      </w:pPr>
    </w:p>
    <w:p>
      <w:pPr>
        <w:ind w:right="20"/>
        <w:spacing w:after="0" w:line="176" w:lineRule="exact"/>
        <w:rPr>
          <w:sz w:val="20"/>
          <w:szCs w:val="20"/>
          <w:color w:val="auto"/>
        </w:rPr>
      </w:pPr>
      <w:r>
        <w:rPr>
          <w:rFonts w:ascii="Times New Roman" w:cs="Times New Roman" w:eastAsia="Times New Roman" w:hAnsi="Times New Roman"/>
          <w:sz w:val="14"/>
          <w:szCs w:val="14"/>
          <w:color w:val="auto"/>
        </w:rPr>
        <w:t>The Company’s success also depends in large part on its ability and the ability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it works with to maintain the brand image of existing products, build up brand image for new products and brand extensions and maintain its corporate reputation and social license to operate. Engagements by the Company’s executives in social and public policy debates may occasionally be the subject of criticism from advocacy groups that have differing points of view and could result in adverse media and consumer reaction, including product boycotts. Similarly, the Company’s sponsorship relationships and charitable giving program could subject the Company to negative publicity as a result of actual or perceived views of organizations the Company sponsors or supports financially. Likewise, negative postings or comments on social media or networking websites about the Company,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or one of the products the Company carries, even if inaccurate or malicious, could generate adverse publicity that could damage the reputation of the Company’s brands or the Company.</w:t>
      </w:r>
    </w:p>
    <w:p>
      <w:pPr>
        <w:spacing w:after="0" w:line="180" w:lineRule="exact"/>
        <w:rPr>
          <w:sz w:val="20"/>
          <w:szCs w:val="20"/>
          <w:color w:val="auto"/>
        </w:rPr>
      </w:pPr>
    </w:p>
    <w:p>
      <w:pPr>
        <w:ind w:right="280"/>
        <w:spacing w:after="0" w:line="173" w:lineRule="exact"/>
        <w:rPr>
          <w:sz w:val="20"/>
          <w:szCs w:val="20"/>
          <w:color w:val="auto"/>
        </w:rPr>
      </w:pPr>
      <w:r>
        <w:rPr>
          <w:rFonts w:ascii="Times New Roman" w:cs="Times New Roman" w:eastAsia="Times New Roman" w:hAnsi="Times New Roman"/>
          <w:sz w:val="14"/>
          <w:szCs w:val="14"/>
          <w:color w:val="auto"/>
        </w:rPr>
        <w:t>The Company’s business depends substantially on consumer tastes, preferences and shopping habits that change in often unpredictable ways. As a result of certain health and wellness trends, including concern over the public health consequences associated with obesity, consumer preferences over the past several years have shifted from sugar-sweetened sparkling beverages to diet sparkling beverages, tea, sports drinks, enhanced water and bottled water. As the Company distributes, markets and manufactures beverage brands owned by others, the success of the Company’s business depends in large measure on the ability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to develop and introduce product innovations to meet the changing preferences of the broad consumer market, and failure to satisfy these consumer preferences could adversely affect the Company’s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 and results of operations may be adversely affected by the inability to attract and retain front-line employees in a tight labor market.</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recent years, the U.S. economy has experienced a challenging labor market as the supply of available workers frequently fell short of the number of workers necessary to fill all available jobs. As a result, the Company experienced difficulty in attracting and retaining front-line workers and faced periods of high turnover. Tight labor markets and a lack of available workers has led, and may lead in the future, to increased labor costs in the form of higher salaries, increased overtime and other compensation adjustments to remain competitive in a challenging labor market. If the Company cannot retain adequate front-line employees to produce and deliver its products, its business operations may be adversely affected and higher labor costs have had, and may have in the future, an adverse effect on our results of operations.</w:t>
      </w:r>
    </w:p>
    <w:p>
      <w:pPr>
        <w:spacing w:after="0" w:line="162"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 regulations related to nonalcoholic beverages, including regulations related to obesity, public health, artificial ingredients and product safety and sustainability, could reduce demand for the Company’s products and reduce profitability.</w:t>
      </w:r>
    </w:p>
    <w:p>
      <w:pPr>
        <w:spacing w:after="0" w:line="14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Company’s business and properties are subject to various federal, state and local laws and regulations, including those governing the production, packaging, quality, labeling and distribution of beverage products. Compliance with or changes in existing laws or regulations could require material expenses and negatively affect our financial results through lower sales or higher costs.</w:t>
      </w:r>
    </w:p>
    <w:p>
      <w:pPr>
        <w:spacing w:after="0" w:line="14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production and marketing of beverages are subject to the rules and regulations of the FDA and other federal, state and local health agencies, and extensive changes in these rules and regulations could increase the Company’s costs or adversely impact its sales. The Company cannot predict whether any such rules or regulations will be enacted or, if enacted, the impact that such rules or regulations could have on its business.</w:t>
      </w:r>
    </w:p>
    <w:p>
      <w:pPr>
        <w:spacing w:after="0" w:line="15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In response to growing health, nutrition and wellness concerns for today’s youth, a number of states and local governments have regulations restricting the sale of soft drinks and other foods in schools, particularly elementary, middle and high schools. Many of these restrictions have existed for several years in connection with subsidized meal programs in schools. Additionally, legislation has been proposed by certain state and local governments to limit or restrict the sale of energy drinks to minors and/or persons below a specified age and/or to restrict the venues in which energy drinks can be sold. Restrictive legislation, if widely enacted, could have an adverse impact on the Company’s products, sales and reputation.</w:t>
      </w:r>
    </w:p>
    <w:p>
      <w:pPr>
        <w:spacing w:after="0" w:line="16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Legislation has been proposed in Congress and by certain state and local governments which would prohibit the sale of soft drink products in non-refillable bottles and cans or require a mandatory deposit as a means of encouraging the return of such containers, each in an attempt to reduce solid waste and litter. Similarly, the Company is aware of proposed legislation that would impose fees or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2" w:name="page13"/>
    <w:bookmarkEnd w:id="12"/>
    <w:p>
      <w:pPr>
        <w:ind w:right="120"/>
        <w:spacing w:after="0" w:line="270" w:lineRule="auto"/>
        <w:rPr>
          <w:sz w:val="20"/>
          <w:szCs w:val="20"/>
          <w:color w:val="auto"/>
        </w:rPr>
      </w:pPr>
      <w:r>
        <w:rPr>
          <w:rFonts w:ascii="Times New Roman" w:cs="Times New Roman" w:eastAsia="Times New Roman" w:hAnsi="Times New Roman"/>
          <w:sz w:val="14"/>
          <w:szCs w:val="14"/>
          <w:color w:val="auto"/>
        </w:rPr>
        <w:t>taxes on various types of containers used in its business, as well as proposed legislation around new recycling regulations and the reduction of single-use plastics. The Company is not currently impacted by the policies in these types of proposed legislation, but it is possible that similar or more restrictive legal requirements may be proposed or enacted within its distribution territories in the future.</w:t>
      </w:r>
    </w:p>
    <w:p>
      <w:pPr>
        <w:spacing w:after="0" w:line="15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Concerns about perceived negative safety and quality consequences of certain ingredients in the Company’s products, such as non-nutritive sweeteners or ingredients in energy drinks, could result in additional governmental regulations concerning the production, marketing, labeling or availability of the Company’s products or the ingredients in such products, possible new taxes or negative publicity resulting from actual or threatened legal actions against the Company or other companies in the same industry, any of which could damage the reputation of the Company or reduce demand for the Company’s products, which could adversely affect the Company’s profitability.</w:t>
      </w:r>
    </w:p>
    <w:p>
      <w:pPr>
        <w:spacing w:after="0" w:line="16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The FDA occasionally proposes major changes to the nutrition labels required on all packaged foods and beverages, including those for most of the Company’s products, which could require the Company and its competitors to revise nutrition labels to include updated serving sizes, information about total calories in a beverage product container and information about any added sugars or nutrients. Any pervasive nutrition label changes could increase the Company’s costs and could inhibit sales of one or more of the Company’s major products.</w:t>
      </w:r>
    </w:p>
    <w:p>
      <w:pPr>
        <w:spacing w:after="0" w:line="15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Most beverage products sold by the Company are classified as food or food products and are therefore eligible for purchase using SNAP benefits by consumers purchasing them for home consumption. Energy drinks with a nutrition facts label are also classified as food and are eligible for purchase for home consumption using SNAP benefits, whereas energy drinks classified as a supplement by the FDA are not. Regulators may restrict the use of benefit programs, including SNAP, to purchase certain beverages and foods currently classified as food or food products.</w:t>
      </w:r>
    </w:p>
    <w:p>
      <w:pPr>
        <w:spacing w:after="0" w:line="136" w:lineRule="exact"/>
        <w:rPr>
          <w:sz w:val="20"/>
          <w:szCs w:val="20"/>
          <w:color w:val="auto"/>
        </w:rPr>
      </w:pPr>
    </w:p>
    <w:p>
      <w:pPr>
        <w:jc w:val="both"/>
        <w:spacing w:after="0" w:line="182" w:lineRule="exact"/>
        <w:rPr>
          <w:sz w:val="20"/>
          <w:szCs w:val="20"/>
          <w:color w:val="auto"/>
        </w:rPr>
      </w:pPr>
      <w:r>
        <w:rPr>
          <w:rFonts w:ascii="Times New Roman" w:cs="Times New Roman" w:eastAsia="Times New Roman" w:hAnsi="Times New Roman"/>
          <w:sz w:val="14"/>
          <w:szCs w:val="14"/>
          <w:b w:val="1"/>
          <w:bCs w:val="1"/>
          <w:i w:val="1"/>
          <w:iCs w:val="1"/>
          <w:color w:val="auto"/>
        </w:rPr>
        <w:t>The Company relies on The Coca</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Cola Company and other beverage companies to invest in the Company through marketing funding and to promote their own company brand identity through external advertising, marketing spending and product innovation. Decreases from historic levels of investment could negatively impact the Company’s business, financial condition and results of operations or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-285115</wp:posOffset>
            </wp:positionV>
            <wp:extent cx="55880"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37" w:lineRule="exact"/>
        <w:rPr>
          <w:sz w:val="20"/>
          <w:szCs w:val="20"/>
          <w:color w:val="auto"/>
        </w:rPr>
      </w:pPr>
    </w:p>
    <w:p>
      <w:pPr>
        <w:jc w:val="both"/>
        <w:ind w:right="100"/>
        <w:spacing w:after="0" w:line="177" w:lineRule="exact"/>
        <w:rPr>
          <w:sz w:val="20"/>
          <w:szCs w:val="20"/>
          <w:color w:val="auto"/>
        </w:rPr>
      </w:pPr>
      <w:r>
        <w:rPr>
          <w:rFonts w:ascii="Times New Roman" w:cs="Times New Roman" w:eastAsia="Times New Roman" w:hAnsi="Times New Roman"/>
          <w:sz w:val="14"/>
          <w:szCs w:val="14"/>
          <w:color w:val="auto"/>
        </w:rPr>
        <w:t>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have historically provided financial support to the Company through marketing funding. While the Company does not believe there will be significant changes to the amount of marketing funding support provided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the Company’s beverage agreements generally do not obligate such funding and there can be no assurance the historic levels will continue. Decreases in the level of marketing funding provided, material changes in the marketing funding programs’ performance requirements or the Company’s inability to meet the performance requirements for marketing funding could adversely affect the Company’s business, financial condition and results of operations or profitability.</w:t>
      </w:r>
    </w:p>
    <w:p>
      <w:pPr>
        <w:spacing w:after="0" w:line="158" w:lineRule="exact"/>
        <w:rPr>
          <w:sz w:val="20"/>
          <w:szCs w:val="20"/>
          <w:color w:val="auto"/>
        </w:rPr>
      </w:pPr>
    </w:p>
    <w:p>
      <w:pPr>
        <w:ind w:right="20"/>
        <w:spacing w:after="0" w:line="176" w:lineRule="exact"/>
        <w:rPr>
          <w:sz w:val="20"/>
          <w:szCs w:val="20"/>
          <w:color w:val="auto"/>
        </w:rPr>
      </w:pPr>
      <w:r>
        <w:rPr>
          <w:rFonts w:ascii="Times New Roman" w:cs="Times New Roman" w:eastAsia="Times New Roman" w:hAnsi="Times New Roman"/>
          <w:sz w:val="14"/>
          <w:szCs w:val="14"/>
          <w:color w:val="auto"/>
        </w:rPr>
        <w:t>In addition,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have their own external advertising campaigns, marketing spending and product innovation programs, which directly impact the Company’s operations. Decreases in advertising, marketing and product innovation spending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or advertising campaigns that are negatively perceived by the public, could adversely impact the sales volume growth and profitability of the Company. While the Company does not believe there will be significant changes in the level of external advertising and marketing spending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there can be no assurance the historic levels will continue or that advertising campaigns will be positively perceived by the public. The Company’s volume growth is also dependent on product innovation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and their ability to develop and introduce products that meet consumer preferences.</w:t>
      </w:r>
    </w:p>
    <w:p>
      <w:pPr>
        <w:spacing w:after="0" w:line="159" w:lineRule="exact"/>
        <w:rPr>
          <w:sz w:val="20"/>
          <w:szCs w:val="20"/>
          <w:color w:val="auto"/>
        </w:rPr>
      </w:pPr>
    </w:p>
    <w:p>
      <w:pPr>
        <w:jc w:val="both"/>
        <w:ind w:right="180"/>
        <w:spacing w:after="0" w:line="182" w:lineRule="exact"/>
        <w:rPr>
          <w:sz w:val="20"/>
          <w:szCs w:val="20"/>
          <w:color w:val="auto"/>
        </w:rPr>
      </w:pPr>
      <w:r>
        <w:rPr>
          <w:rFonts w:ascii="Times New Roman" w:cs="Times New Roman" w:eastAsia="Times New Roman" w:hAnsi="Times New Roman"/>
          <w:sz w:val="14"/>
          <w:szCs w:val="14"/>
          <w:b w:val="1"/>
          <w:bCs w:val="1"/>
          <w:i w:val="1"/>
          <w:iCs w:val="1"/>
          <w:color w:val="auto"/>
        </w:rPr>
        <w:t>The Company is a participant in several Coca</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Cola system governance entities, and decisions made by these governance entities may be different than decisions that would have been made by the Company individually. Any failure of these governance entities to function efficiently or on the best behalf of the Company and any failure or delay of the Company to receive anticipated benefits from these governance entities could adversely affect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-285115</wp:posOffset>
            </wp:positionV>
            <wp:extent cx="55880"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58" w:lineRule="exact"/>
        <w:rPr>
          <w:sz w:val="20"/>
          <w:szCs w:val="20"/>
          <w:color w:val="auto"/>
        </w:rPr>
      </w:pPr>
    </w:p>
    <w:p>
      <w:pPr>
        <w:ind w:right="220"/>
        <w:spacing w:after="0" w:line="172" w:lineRule="exact"/>
        <w:rPr>
          <w:sz w:val="20"/>
          <w:szCs w:val="20"/>
          <w:color w:val="auto"/>
        </w:rPr>
      </w:pPr>
      <w:r>
        <w:rPr>
          <w:rFonts w:ascii="Times New Roman" w:cs="Times New Roman" w:eastAsia="Times New Roman" w:hAnsi="Times New Roman"/>
          <w:sz w:val="14"/>
          <w:szCs w:val="14"/>
          <w:color w:val="auto"/>
        </w:rPr>
        <w:t>The Company is a member of CONA and party to an amended and restated master services agreement with CONA, pursuant to which the Company is an authorized user of the CONA System, a uniform information technology system developed to promote operational efficiency and uniformity among North American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The Company relies on CONA to make necessary upgrades to and resolve ongoing or disaster-related technology issues with the CONA System, and it is limited in its authority and ability to timely resolve errors or to make changes to the CONA software. Any service interruptions of the CONA System could result in increased costs or adversely impact the Company’s results of operations. In addition, because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are also users of the CONA System and would likely experience similar service interruptions, the Company may not be able to have another bottler process orders on its behalf during any such interruption.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3" w:name="page14"/>
    <w:bookmarkEnd w:id="13"/>
    <w:p>
      <w:pPr>
        <w:spacing w:after="0" w:line="161" w:lineRule="exact"/>
        <w:rPr>
          <w:sz w:val="20"/>
          <w:szCs w:val="20"/>
          <w:color w:val="auto"/>
        </w:rPr>
      </w:pPr>
      <w:r>
        <w:rPr>
          <w:rFonts w:ascii="Times New Roman" w:cs="Times New Roman" w:eastAsia="Times New Roman" w:hAnsi="Times New Roman"/>
          <w:sz w:val="14"/>
          <w:szCs w:val="14"/>
          <w:color w:val="auto"/>
        </w:rPr>
        <w:t>The Company is also a member of the NPSG, which is comprised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the Company and certain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who are regional producing bottlers in</w:t>
      </w:r>
    </w:p>
    <w:p>
      <w:pPr>
        <w:spacing w:after="0" w:line="41" w:lineRule="exact"/>
        <w:rPr>
          <w:sz w:val="20"/>
          <w:szCs w:val="20"/>
          <w:color w:val="auto"/>
        </w:rPr>
      </w:pPr>
    </w:p>
    <w:p>
      <w:pPr>
        <w:ind w:right="40"/>
        <w:spacing w:after="0" w:line="171" w:lineRule="exact"/>
        <w:rPr>
          <w:sz w:val="20"/>
          <w:szCs w:val="20"/>
          <w:color w:val="auto"/>
        </w:rPr>
      </w:pPr>
      <w:r>
        <w:rPr>
          <w:rFonts w:ascii="Times New Roman" w:cs="Times New Roman" w:eastAsia="Times New Roman" w:hAnsi="Times New Roman"/>
          <w:sz w:val="14"/>
          <w:szCs w:val="14"/>
          <w:color w:val="auto"/>
        </w:rPr>
        <w:t>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Company’s national product supply system. Subject to the terms and conditions of the NPSG Agreement, the Company is required to comply with certain key decisions made by the NPSG Board, which include decisions regarding strategic infrastructure investment and divestment planning, optimal national product supply sourcing and new product or packaging infrastructure planning. Although the Company has a representative on the NPSG Board, the Company cannot exercise sole decision-making authority relating to the decisions of the NPSG Board, and the interests of other members of the NPSG Board may diverge from those of the Company. Any such divergence could have a material adverse effect on the operating and financial results of the Company.</w:t>
      </w:r>
    </w:p>
    <w:p>
      <w:pPr>
        <w:spacing w:after="0" w:line="157" w:lineRule="exact"/>
        <w:rPr>
          <w:sz w:val="20"/>
          <w:szCs w:val="20"/>
          <w:color w:val="auto"/>
        </w:rPr>
      </w:pPr>
    </w:p>
    <w:p>
      <w:pPr>
        <w:ind w:right="760"/>
        <w:spacing w:after="0" w:line="188" w:lineRule="exact"/>
        <w:rPr>
          <w:sz w:val="20"/>
          <w:szCs w:val="20"/>
          <w:color w:val="auto"/>
        </w:rPr>
      </w:pPr>
      <w:r>
        <w:rPr>
          <w:rFonts w:ascii="Times New Roman" w:cs="Times New Roman" w:eastAsia="Times New Roman" w:hAnsi="Times New Roman"/>
          <w:sz w:val="14"/>
          <w:szCs w:val="14"/>
          <w:b w:val="1"/>
          <w:bCs w:val="1"/>
          <w:i w:val="1"/>
          <w:iCs w:val="1"/>
          <w:color w:val="auto"/>
        </w:rPr>
        <w:t>Provisions in the CBA and the RMA with The Coca</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Cola Company could delay or prevent a change in control of the Company or a sale of the Company’s Coca</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Cola distribution or manufacturing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-177800</wp:posOffset>
            </wp:positionV>
            <wp:extent cx="55880"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-177800</wp:posOffset>
            </wp:positionV>
            <wp:extent cx="55880"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36" w:lineRule="exact"/>
        <w:rPr>
          <w:sz w:val="20"/>
          <w:szCs w:val="20"/>
          <w:color w:val="auto"/>
        </w:rPr>
      </w:pPr>
    </w:p>
    <w:p>
      <w:pPr>
        <w:ind w:right="20"/>
        <w:spacing w:after="0" w:line="177" w:lineRule="exact"/>
        <w:rPr>
          <w:sz w:val="20"/>
          <w:szCs w:val="20"/>
          <w:color w:val="auto"/>
        </w:rPr>
      </w:pPr>
      <w:r>
        <w:rPr>
          <w:rFonts w:ascii="Times New Roman" w:cs="Times New Roman" w:eastAsia="Times New Roman" w:hAnsi="Times New Roman"/>
          <w:sz w:val="14"/>
          <w:szCs w:val="14"/>
          <w:color w:val="auto"/>
        </w:rPr>
        <w:t>Provisions in the CBA and the RMA require the Company to obtain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Company’s prior approval of a potential buyer of the Company’s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distribution or manufacturing businesses, which could delay or prevent a change in control of the Company or the Company’s ability to sell such businesses. The Company can obtain a list of pre-approved third-party buyers from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annually. In addition, the Company can seek buyer-specific approval from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upon receipt of a third-party offer to purchase the Company or its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distribution or manufacturing businesses. If a change in control or sale of one of our businesses is delayed or prevented by the provisions in the CBA and the RMA, the market price of our Common Stock could be negatively affected.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concentration of the Company’s capital stock ownership with our Chairman and Chief Executive Officer limits other stockholders’ ability to influence corporate matters.</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As of December 31, 2022, J. Frank Harrison, III, Chairman of the Board of Directors and Chief Executive Officer of the Company, controlled 1,004,394 shares of the Company’s Class B Common Stock, which represented approximately 71% of the total voting power of the Company’s outstanding Common Stock and Class B Common Stock on a consolidated basis. Mr. Harrison also has the right to acquire 292,386 shares of Class B Common Stock from the Company in exchange for an equivalent number of shares of Common Stock. In the event of such an exchange, Mr. Harrison would control 1,296,780 shares of the Company’s Class B Common Stock, which would represent approximately 76% of the total voting power of the Company’s outstanding Common Stock and Class B Common Stock on a consolidated basis. Furthermore, Mr. Harrison and another member of the Harrison family serve on the Company’s Board of Directors.</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As a result, Mr. Harrison has the ability to exert substantial influence or actual control over the Company’s management and affairs and over substantially all matters requiring action by the Company’s stockholders, including the election of directors and significant corporate transactions, such as a merger or other sale of the Company or its assets. This concentration of ownership may have the effect of delaying or preventing a change in control otherwise favored by the Company’s other stockholders and could depress the stock price or limit other stockholders’ ability to influence corporate matters, which could result in the Company making decisions that stockholders outside the Harrison family may not view as beneficial.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inability to meet requirements under its beverage agreements could result in the loss of distribution and manufacturing rights.</w:t>
      </w:r>
    </w:p>
    <w:p>
      <w:pPr>
        <w:spacing w:after="0" w:line="181" w:lineRule="exact"/>
        <w:rPr>
          <w:sz w:val="20"/>
          <w:szCs w:val="20"/>
          <w:color w:val="auto"/>
        </w:rPr>
      </w:pPr>
    </w:p>
    <w:p>
      <w:pPr>
        <w:ind w:right="180"/>
        <w:spacing w:after="0" w:line="179" w:lineRule="exact"/>
        <w:rPr>
          <w:sz w:val="20"/>
          <w:szCs w:val="20"/>
          <w:color w:val="auto"/>
        </w:rPr>
      </w:pPr>
      <w:r>
        <w:rPr>
          <w:rFonts w:ascii="Times New Roman" w:cs="Times New Roman" w:eastAsia="Times New Roman" w:hAnsi="Times New Roman"/>
          <w:sz w:val="14"/>
          <w:szCs w:val="14"/>
          <w:color w:val="auto"/>
        </w:rPr>
        <w:t>Under the CBA and the RMA, which authorize the Company to distribute and/or manufacture products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pursuant to the Company’s distribution agreements with other beverage companies, the Company must satisfy various requirements, such as making minimum capital expenditures or maintaining certain performance rates. Failure to satisfy these requirements could result in the loss of distribution and manufacturing rights for the respective products under one or more of these beverage agreements. The occurrence of other events defined in these agreements could also result in the termination of one or more beverage agreements.</w:t>
      </w:r>
    </w:p>
    <w:p>
      <w:pPr>
        <w:spacing w:after="0" w:line="15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The RMA also requires the Company to provide and sell covered beverages to other U.S.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at prices established pursuant to the RMA. As the timing and quantity of such requests by other U.S.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can be unpredictable, any failure by the Company to adequately plan for such demand could also constrain the Company’s supply chain network.</w:t>
      </w:r>
    </w:p>
    <w:p>
      <w:pPr>
        <w:spacing w:after="0" w:line="159"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the inputs used to calculate the Company’s acquisition related contingent consideration liability could have a material adverse impact on the Company’s financial condition and results of operations.</w:t>
      </w:r>
    </w:p>
    <w:p>
      <w:pPr>
        <w:spacing w:after="0" w:line="122" w:lineRule="exact"/>
        <w:rPr>
          <w:sz w:val="20"/>
          <w:szCs w:val="20"/>
          <w:color w:val="auto"/>
        </w:rPr>
      </w:pPr>
    </w:p>
    <w:p>
      <w:pPr>
        <w:ind w:right="80"/>
        <w:spacing w:after="0" w:line="182" w:lineRule="exact"/>
        <w:rPr>
          <w:sz w:val="20"/>
          <w:szCs w:val="20"/>
          <w:color w:val="auto"/>
        </w:rPr>
      </w:pPr>
      <w:r>
        <w:rPr>
          <w:rFonts w:ascii="Times New Roman" w:cs="Times New Roman" w:eastAsia="Times New Roman" w:hAnsi="Times New Roman"/>
          <w:sz w:val="14"/>
          <w:szCs w:val="14"/>
          <w:color w:val="auto"/>
        </w:rPr>
        <w:t>The Company’s acquisition related contingent consideration liability, which totaled $541.5 million as of December 31, 2022, consists of the estimated amounts due to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as acquisition related sub-bottling payments under the CBA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CCR over the useful life of the related distribution rights. Changes in business conditions or other events could materially change both the future cash flow projections and the discount rate used in the calculation of the fair value of</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14" w:name="page15"/>
    <w:bookmarkEnd w:id="14"/>
    <w:p>
      <w:pPr>
        <w:spacing w:after="0" w:line="287" w:lineRule="auto"/>
        <w:rPr>
          <w:sz w:val="20"/>
          <w:szCs w:val="20"/>
          <w:color w:val="auto"/>
        </w:rPr>
      </w:pPr>
      <w:r>
        <w:rPr>
          <w:rFonts w:ascii="Times New Roman" w:cs="Times New Roman" w:eastAsia="Times New Roman" w:hAnsi="Times New Roman"/>
          <w:sz w:val="14"/>
          <w:szCs w:val="14"/>
          <w:color w:val="auto"/>
        </w:rPr>
        <w:t>contingent consideration under the CBA. These changes could result in material changes to the fair value of the acquisition related contingent consideration and could materially impact the amount of non-cash expense (or income) recorded each reporting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 Factors</w:t>
      </w:r>
    </w:p>
    <w:p>
      <w:pPr>
        <w:spacing w:after="0" w:line="200"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Technology failures or cyberattacks on the Company’s technology systems or the Company’s effective response to technology failures or cyberattacks on its customers’, suppliers’ or other third parties’ technology systems could disrupt the Company’s operations and negatively impact the Company’s reputation, business, financial condition or results of operations.</w:t>
      </w:r>
    </w:p>
    <w:p>
      <w:pPr>
        <w:spacing w:after="0" w:line="14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 increasingly relies on information technology systems to process, transmit and store electronic information. Like most companies, the Company’s information technology systems are vulnerable to interruption due to a variety of events beyond the Company’s control, including, but not limited to, power outages, computer and telecommunications failures, computer viruses, other malicious computer programs and cyberattacks, denial-of-service attacks, security breaches, catastrophic events such as fires, tornadoes, earthquakes and hurricanes, usage errors by employees and other security issues. In addition, third-party providers of data hosting or cloud services, as well as other vendors, customers and suppliers, are vulnerable to cybersecurity incidents involving data the Company shares with them. While incidents at our third-party service providers have not materially impacted our business operations, one or more of these incidents could significantly impact the Company in the future.</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depends heavily upon the efficient operation of technological resources and a failure in these technology systems or controls could negatively impact the Company’s business, financial condition or results of operations. In addition, the Company continuously upgrades and updates current technology or installs new technology. In order to address risks to its technology systems, the Company continues to monitor networks and systems, upgrade security policies and train its employees, and it requires third-party service providers and business partners, customers, suppliers and other third parties to do the same. The inability to implement upgrades, updates or installations in a timely manner, to train employees effectively in the use of new or updated technology, or to obtain the anticipated benefits of the Company’s technology could adversely impact the Company’s business, financial condition, results of operations or profitability.</w:t>
      </w:r>
    </w:p>
    <w:p>
      <w:pPr>
        <w:spacing w:after="0" w:line="16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Company has technology security initiatives and disaster recovery plans in place to mitigate its risk to these vulnerabilities; however, these measures may not be adequate or implemented properly to ensure that the Company’s operations are not disrupted. If the Company’s technology systems, or those of its third-party service providers or business partners, are damaged, breached or cease to function properly, the Company may incur significant financial and other resources to mitigate, upgrade, repair or replace them, and the Company may suffer interruptions in its business operations, resulting in lost revenues and potential delays in reporting its financial results.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Further, misuse, leakage or falsification of the Company’s information could result in violations of data privacy laws and regulations and damage the reputation and credibility of the Company. The Company may suffer financial and reputational damage because of lost or misappropriated confidential information belonging to the Company, current or former employees, bottling partners, other customers, suppliers or consumers, and may become subject to legal action and increased regulatory oversight. The Company could also be required to spend significant financial and other resources to remedy the damage caused by a security breach or to repair or replace networks and information technology systems, including liability for stolen information, increased cybersecurity protection costs, litigation expense and increased insurance premiums</w:t>
      </w:r>
      <w:r>
        <w:rPr>
          <w:rFonts w:ascii="Times New Roman" w:cs="Times New Roman" w:eastAsia="Times New Roman" w:hAnsi="Times New Roman"/>
          <w:sz w:val="14"/>
          <w:szCs w:val="14"/>
          <w:i w:val="1"/>
          <w:i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financial condition can be impacted by the stability of the general economy.</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Unfavorable changes in general economic conditions or in the geographic markets in which the Company does business may have the temporary effect of reducing the demand for certain of the Company’s products. For example, economic forces may cause consumers to shift away from purchasing higher-margin products and packages sold through immediate consumption and other highly profitable channels. Periods of sustained high inflation may have adverse impacts on demand for the Company’s products and on the Company’s ability to sustain margins due to higher input costs. In addition, efforts by the government to curb inflation may cause a general economic slowdown. Adverse economic conditions could also increase the likelihood of customer delinquencies and bankruptcies, which would increase the risk of uncollectability of certain accounts. Each of these factors could adversely affect the Company’s overall business, financial condition and results of operations.</w:t>
      </w:r>
    </w:p>
    <w:p>
      <w:pPr>
        <w:spacing w:after="0" w:line="1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The Company’s capital structure, including its cash positions and borrowing capacity with banks or other financial institutions and financial markets, exposes it to the risk of default by or failure of counterparty financial institutions. The risk of counterparty default or failure may be heightened during economic downturns and periods of uncertainty in the financial markets. If one of the Company’s counterparties were to become insolvent or enter bankruptcy, the Company’s ability to recover losses incurred as a result of default or to retrieve assets that are deposited or held in accounts with such counterparty may be limited by the counterparty’s liquidity or the applicable laws governing the insolvency or bankruptcy proceedings. Consequently, the Company’s access to capital may be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diminished. Any such event of default or failure could negatively impact the Company’s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the Company’s top customer relationships and marketing strategies could impact sales volume and net sales.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faces concentration risks related to a few customers comprising a large portion of the Company’s annual sales volume and net sales. The Company’s business, financial condition and results of operations could be adversely affected if net sales from one or more of these significant customers is materially reduced or if the cost of complying with the customers’ demands is significant. Additionally, if receivables from one or more of these significant customers become uncollectible, the Company’s financial condition and results of operations may be adversely impacted.</w:t>
      </w:r>
    </w:p>
    <w:p>
      <w:pPr>
        <w:spacing w:after="0" w:line="157" w:lineRule="exact"/>
        <w:rPr>
          <w:sz w:val="20"/>
          <w:szCs w:val="20"/>
          <w:color w:val="auto"/>
        </w:rPr>
      </w:pPr>
    </w:p>
    <w:p>
      <w:pPr>
        <w:ind w:right="20"/>
        <w:spacing w:after="0" w:line="173" w:lineRule="exact"/>
        <w:rPr>
          <w:sz w:val="20"/>
          <w:szCs w:val="20"/>
          <w:color w:val="auto"/>
        </w:rPr>
      </w:pPr>
      <w:r>
        <w:rPr>
          <w:rFonts w:ascii="Times New Roman" w:cs="Times New Roman" w:eastAsia="Times New Roman" w:hAnsi="Times New Roman"/>
          <w:sz w:val="14"/>
          <w:szCs w:val="14"/>
          <w:color w:val="auto"/>
        </w:rPr>
        <w:t>The Company’s largest customers, Wal-Mart Stores, Inc. and The Kroger Company, accounted for approximately 32% of the Company’s 2022 total bottle/can sales volume to retail customers and approximately 26% of the Company’s 2022 total net sales. These customers typically make purchase decisions based on a combination of price, product quality, consumer demand and customer service performance and generally do not enter into long-term contracts. The Company faces risks related to maintaining the volume demanded on a short-term basis from these customers, which can also divert resources away from other customers. The loss of Wal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Mart Stores, Inc. or The Kroger Company as a customer could have a material adverse effect on the business, financial condition and results of operations of the Company.</w:t>
      </w:r>
    </w:p>
    <w:p>
      <w:pPr>
        <w:spacing w:after="0" w:line="17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Further, the Company’s net sales are affected by promotion of the Company’s products by significant customers, such as in-store displays created by customers or the promotion of the Company’s products in customers’ periodic advertising. If the Company’s significant customers change the manner in which they market or promote the Company’s products, or if the marketing efforts by significant customers become ineffective, the Company’s sales volume and net sales could be adversely impacted.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respond successfully to changes in the marketplace.</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Company operates in the highly competitive nonalcoholic beverage industry and faces strong competition from other general and specialty beverage companies. The Company’s response to continued and increased customer and competitor consolidations and marketplace competition may result in lower than expected net pricing of the Company’s products. The Company’s ability to gain or maintain the Company’s share of sales or gross margins may be limited by the actions of the Company’s competitors, which may have advantages in setting prices due to lower raw material costs.</w:t>
      </w:r>
    </w:p>
    <w:p>
      <w:pPr>
        <w:spacing w:after="0" w:line="16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Competitive pressures in the markets in which the Company operates may cause channel and product mix to shift away from more profitable channels and packages. If the Company is unable to maintain or increase volume in higher-margin products and in packages sold through higher-margin channels, such as immediate consumption, pricing and gross margins could be adversely affected. Any related efforts by the Company to improve pricing and/or gross margin may result in lower than expected sales volume.</w:t>
      </w:r>
    </w:p>
    <w:p>
      <w:pPr>
        <w:spacing w:after="0" w:line="136" w:lineRule="exact"/>
        <w:rPr>
          <w:sz w:val="20"/>
          <w:szCs w:val="20"/>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In addition, the Company’s sales of finished goods to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U.S.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are governed by the RMA, pursuant to which the prices, or certain elements of the formulas used to determine the prices, for such finished goods are unilaterally established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from time to time. This limits the Company’s ability to adjust pricing in response to changes in the marketplace, which could have an adverse impact on the Company’s business, financial condition and results of operations.</w:t>
      </w:r>
    </w:p>
    <w:p>
      <w:pPr>
        <w:spacing w:after="0" w:line="17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the Company’s level of debt, borrowing costs and credit ratings could impact access to capital and credit markets, restrict the Company’s operating flexibility and limit the Company’s ability to obtain additional financing to fund future needs.</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As of December 31, 2022, the Company had $598.8 million of debt outstanding. The Company’s level of debt requires a substantial portion of future cash flows from operations to be dedicated to the payment of principal and interest, which reduces funds available for other purposes. The Company’s debt level can negatively impact its operations by limiting the Company’s ability to, and/or increasing its cost to, access credit markets for working capital, capital expenditures and other general corporate purposes; increasing the Company’s vulnerability to economic downturns and adverse industry conditions by limiting the Company’s ability to react to changing economic and business conditions; and exposing the Company to increased risk that the Company will not be able to refinance the principal amount of debt as it becomes due or that a significant decrease in cash flows from operations could make it difficult for the Company to meet its debt service requirements and to comply with financial covenants in its debt agreements.</w:t>
      </w:r>
    </w:p>
    <w:p>
      <w:pPr>
        <w:spacing w:after="0" w:line="16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Company’s acquisition related contingent consideration, revolving credit facility and pension and postretirement medical benefits are subject to changes in interest rates. If interest rates increase in the future, the Company’s borrowing costs could increase, which could negatively impact the Company’s financial condition and results of operations and limit the Company’s ability to spend in other areas of the business. Further, a decline in the interest rates used to discount the Company’s pension and postretirement medical liabilities could increase the cost of these benefits and the amount of the liabilities.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16" w:name="page17"/>
    <w:bookmarkEnd w:id="16"/>
    <w:p>
      <w:pPr>
        <w:spacing w:after="0" w:line="173" w:lineRule="exact"/>
        <w:rPr>
          <w:sz w:val="20"/>
          <w:szCs w:val="20"/>
          <w:color w:val="auto"/>
        </w:rPr>
      </w:pPr>
      <w:r>
        <w:rPr>
          <w:rFonts w:ascii="Times New Roman" w:cs="Times New Roman" w:eastAsia="Times New Roman" w:hAnsi="Times New Roman"/>
          <w:sz w:val="14"/>
          <w:szCs w:val="14"/>
          <w:color w:val="auto"/>
        </w:rPr>
        <w:t>In assessing the Company’s credit strength, credit rating agencies consider the Company’s capital structure, financial policies, consolidated balance sheet and other financial information, and may also consider financial information of other bottling and beverage companies. The Company’s credit ratings could be significantly impacted by the Company’s operating performance, changes in the methodologies used by rating agencies to assess the Company’s credit ratings, changes in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Company’s credit ratings and the rating agencies’ perception of the impact of credit market conditions on the Company’s current or future financial performance. Lower credit ratings could significantly increase the Company’s borrowing costs or adversely affect the Company’s ability to obtain additional financing at acceptable interest rates or to refinance existing debt.</w:t>
      </w:r>
    </w:p>
    <w:p>
      <w:pPr>
        <w:spacing w:after="0" w:line="176"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attract, train and retain qualified employees while controlling labor costs, and other labor issues could have an adverse effect on the Company’s reputation, business, financial condition and results of operations or profitability.</w:t>
      </w:r>
    </w:p>
    <w:p>
      <w:pPr>
        <w:spacing w:after="0" w:line="14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Company’s future growth and performance depend on its ability to attract, hire, train, develop, motivate and retain a highly skilled, diverse and properly credentialed workforce. The Company’s ability to meet its labor needs while controlling labor costs is subject to many external factors, including competition for and availability of qualified personnel in a given market, unemployment levels within those markets, prevailing wage rates, minimum wage laws, health and other insurance costs and changes in employment and labor laws or other workplace regulations. The Company’s labor costs could be impacted by new or revised labor laws, rules or regulations or healthcare laws that are adopted or implemented. Any unplanned turnover or unsuccessful implementation of the Company’s succession plans could deplete the Company’s institutional knowledge base and erode its competitive advantage or result in increased costs due to increased competition for employees, higher employee turnover or increased employee benefit costs. Any of the foregoing could adversely affect the Company’s reputation, business, financial condition or results of operations.</w:t>
      </w:r>
    </w:p>
    <w:p>
      <w:pPr>
        <w:spacing w:after="0" w:line="16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uses various insurance structures to manage costs related to workers’ compensation, auto liability, medical and other insurable risks. These structures consist of retentions, deductibles, limits and a diverse group of insurers that serve to strategically finance, transfer and mitigate the financial impact of losses to the Company. Losses are accrued using assumptions and procedures followed in the insurance industry, then adjusted for company-specific history and expectations. Although the Company has actively sought to control increases in these costs, there can be no assurance the Company will succeed in limiting future cost increases, which could reduce the profitability of the Company’s operations.</w:t>
      </w:r>
    </w:p>
    <w:p>
      <w:pPr>
        <w:spacing w:after="0" w:line="16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addition, the Company’s profitability is substantially affected by the cost of pension retirement benefits, postretirement medical benefits and current employees’ medical benefits. Macro-economic factors beyond the Company’s control, including increases in healthcare costs, declines in investment returns on pension assets and changes in discount rates used to calculate pension and related liabilities, could result in significant increases in these costs for the Company. Although the Company has actively sought to control increases in these costs, there can be no assurance the Company will succeed in limiting future cost increases, which could reduce the profitability of the Company’s operations.</w:t>
      </w:r>
    </w:p>
    <w:p>
      <w:pPr>
        <w:spacing w:after="0" w:line="160"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maintain productive relationships with our employees covered by collective bargaining agreements, including failing to renegotiate collective bargaining agreements, could have an adverse effect on the Company’s business, financial condition and results of operations.</w:t>
      </w:r>
    </w:p>
    <w:p>
      <w:pPr>
        <w:spacing w:after="0" w:line="14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Approximately 13% of the Company’s employees are covered by collective bargaining agreements. Any inability of the Company to renegotiate subsequent agreements with labor unions on satisfactory terms and conditions could result in work interruptions or stoppages, which could have a material adverse impact on the Company’s profitability. In addition, the terms and conditions of existing or renegotiated agreements could increase costs or otherwise affect the Company’s ability to fully implement operational changes to improve overall efficiency.</w:t>
      </w:r>
    </w:p>
    <w:p>
      <w:pPr>
        <w:spacing w:after="0" w:line="1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Certain employees of the Company whose employment is covered under collective bargaining agreements participate in a multiemployer pension plan, the Employers-Teamsters Local Union Nos. 175 and 505 Pension Fund (the “Teamsters Plan”). Participating in the Teamsters Plan involves certain risks in addition to the risks associated with single employer pension plans, as contributed assets are pooled and may be used to provide benefits to employees of other participating employers. If a participating employer stops contributing to the Teamsters Plan, the unfunded obligations of the Teamsters Plan may be borne by the remaining participating employers. If the Company chooses to stop participating in the Teamsters Plan, the Company could be required to pay the Teamsters Plan a withdrawal liability based on the underfunded status of the Teamsters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disagreements with tax authorities or additional tax liabilities could have a material adverse impact on the Company’s financial condition and results of operations.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is subject to income taxes within the United States. The Company’s annual income tax rate is based upon the Company’s income, federal tax laws and various state and local tax laws within the jurisdictions in which the Company operates.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Changes in federal, state or local income tax rates and/or tax laws could have a material adverse impact on the Company’s financial results.</w:t>
      </w:r>
    </w:p>
    <w:p>
      <w:pPr>
        <w:spacing w:after="0" w:line="20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Excise or other taxes imposed on the sale of certain of the Company’s products by the federal government and certain state and local governments, particularly any taxes incorporated into shelf prices and passed along to consumers, could cause consumers to shift away from purchasing products of the Company, which could have a material adverse impact on the Company’s business and financial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an assessment of additional taxes resulting from audits of the Company’s tax filings could have an adverse impact on the Company’s profitability, cash flows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or legal proceedings could expose the Company to significant liabilities and damage the Company’s reputation.</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Company is from time to time a party to various lawsuits, claims and other legal proceedings that arise in the ordinary course of business, including, but not limited to, litigation claims and legal proceedings arising out of its advertising and marketing practices, product claims and labels, intellectual property and commercial disputes, and environmental and employment matters. With respect to all such lawsuits, claims and proceedings, the Company records reserves when it is probable a liability has been incurred and the amount of loss can be reasonably estimated. Although the Company does not believe a material amount of loss in excess of recorded amounts is reasonably possible as a result of these claims, the Company faces risk of an adverse effect on its results of operations, financial position or cash flows, depending on the outcome of the legal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Natural disasters, changing weather patterns and unfavorable weather could negatively impact the Company’s business, financial condition and future results of operations or profitability.</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Natural disasters or unfavorable weather conditions in the geographic regions in which the Company or its suppliers operate could have an adverse impact on the Company’s revenue and profitability. For instance, unusually cold or rainy weather during the summer months may have a temporary effect on the demand for the Company’s products and contribute to lower sales, which could adversely affect the Company’s profitability for such periods. Prolonged drought conditions could lead to restrictions on water use, which could adversely affect the Company’s cost and ability to manufacture and distribute products. Hurricanes or similar storms may have a negative sourcing impact or cause shifts in product mix to lower-margin products and packages.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Climate change may have a long-term adverse impact on our business and results of operations.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There is concern that a gradual increase in global average temperatures due to increased concentration of carbon dioxide and other greenhouse gases in the atmosphere could cause significant changes in weather patterns and an increase in the frequency or duration of extreme weather and climate events. These changes could adversely impact some of the Company’s facilities, the availability and cost of key raw materials used by the Company in production or the demand for the Company’s products. Public expectations for reductions in greenhouse gas emissions could result in increased energy, transportation and raw material costs, and may require the Company to make additional investments in facilities and equipment. In addition, federal, state or local governmental authorities may propose legislative and regulatory initiatives in response to concerns over climate change which could directly or indirectly adversely affect the Company’s business, require additional investments or increase the cost of raw materials, fuel, ingredients and water. As a result, the effects of climate change could have a long-term adverse impact on the Company’s business and results of operations.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18" w:name="page19"/>
    <w:bookmarkEnd w:id="18"/>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2.</w:t>
        <w:tab/>
        <w:t>Properties.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January 27, 2023, the principal properties of the Company included its corporate headquarters, subsidiary headquarters, 60 distribution centers and 10 manufacturing plants. The Company owns 47 distribution centers and 9 manufacturing plants, and leases its corporate headquarters, subsidiary headquarters, 13 distribution centers and one manufacturing plant.</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2022, CCBCC Operations, LLC, a wholly owned subsidiary of the Company, purchased the Snyder Production Center, which consists of a distribution center/manufacturing plant combination in Charlotte, North Carolina. In connection with this transaction, the lease for the Snyder Production Center was terminated.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Following is a summary of the Company’s manufacturing plants and certain other properties:</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5500" w:type="dxa"/>
            <w:vAlign w:val="bottom"/>
            <w:gridSpan w:val="2"/>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21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Square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Leased /</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191"/>
        </w:trPr>
        <w:tc>
          <w:tcPr>
            <w:tcW w:w="550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Center/Manufacturing Plant Combination</w:t>
            </w:r>
            <w:r>
              <w:rPr>
                <w:rFonts w:ascii="Times New Roman" w:cs="Times New Roman" w:eastAsia="Times New Roman" w:hAnsi="Times New Roman"/>
                <w:sz w:val="8"/>
                <w:szCs w:val="8"/>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Charlotte, NC</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 Center</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Whitestown, IN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415,000</w:t>
            </w: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Owned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Plant</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Indianapolis, IN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Owned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Warehouse</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Charlotte, NC</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380,000</w:t>
            </w: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Plant</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Cincinnati, OH</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Owned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Warehouse</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Chester, VA</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353,000</w:t>
            </w: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Center/Manufacturing Plant Combination</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Sandston, VA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Owned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 Plant</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Roanoke, VA</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310,000</w:t>
            </w: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Owned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Center</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Erlanger, KY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 Center</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Louisville, KY</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Plant</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Twinsburg, OH</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Owned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Warehouse</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Hanover, MD</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278,000</w:t>
            </w: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Center</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Hanover, MD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 Center</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Memphis, TN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266,000</w:t>
            </w: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Center</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Clayton, NC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 Plant</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Nashville, TN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Center</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La Vergne, TN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 Headquarters</w:t>
            </w:r>
            <w:r>
              <w:rPr>
                <w:rFonts w:ascii="Times New Roman" w:cs="Times New Roman" w:eastAsia="Times New Roman" w:hAnsi="Times New Roman"/>
                <w:sz w:val="8"/>
                <w:szCs w:val="8"/>
                <w:color w:val="auto"/>
              </w:rPr>
              <w:t>(2)(3)</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Charlotte, NC</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172,000</w:t>
            </w: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Leased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Plant</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Baltimore, MD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Owned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 Plant</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West Memphis, AR</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116,000</w:t>
            </w: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Owned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Plant</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Silver Spring, MD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Owned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hanging="235"/>
        <w:spacing w:after="0"/>
        <w:tabs>
          <w:tab w:leader="none" w:pos="24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 535,000-square foot manufacturing plant and an adjacent 115,000-square foot distribution center.</w:t>
      </w:r>
    </w:p>
    <w:p>
      <w:pPr>
        <w:spacing w:after="0" w:line="1" w:lineRule="exact"/>
        <w:rPr>
          <w:rFonts w:ascii="Times New Roman" w:cs="Times New Roman" w:eastAsia="Times New Roman" w:hAnsi="Times New Roman"/>
          <w:sz w:val="18"/>
          <w:szCs w:val="18"/>
          <w:color w:val="auto"/>
          <w:vertAlign w:val="superscript"/>
        </w:rPr>
      </w:pPr>
    </w:p>
    <w:p>
      <w:pPr>
        <w:ind w:left="240" w:hanging="235"/>
        <w:spacing w:after="0" w:line="194" w:lineRule="auto"/>
        <w:tabs>
          <w:tab w:leader="none" w:pos="24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two adjacent buildings totaling approximately 172,000 square feet.</w:t>
      </w:r>
    </w:p>
    <w:p>
      <w:pPr>
        <w:spacing w:after="0" w:line="2" w:lineRule="exact"/>
        <w:rPr>
          <w:rFonts w:ascii="Times New Roman" w:cs="Times New Roman" w:eastAsia="Times New Roman" w:hAnsi="Times New Roman"/>
          <w:sz w:val="18"/>
          <w:szCs w:val="18"/>
          <w:color w:val="auto"/>
          <w:vertAlign w:val="superscript"/>
        </w:rPr>
      </w:pPr>
    </w:p>
    <w:p>
      <w:pPr>
        <w:ind w:left="240" w:hanging="235"/>
        <w:spacing w:after="0" w:line="194" w:lineRule="auto"/>
        <w:tabs>
          <w:tab w:leader="none" w:pos="24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lease for this facility is with a related party.</w:t>
      </w:r>
    </w:p>
    <w:p>
      <w:pPr>
        <w:spacing w:after="0" w:line="17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Company believes all of its facilities are in good condition and are adequate for the Company’s operations as presently conducted. The Company has production capacity to meet its current operational requirements. The estimated utilization percentage of the Company’s manufacturing plants, which fluctuates with the seasonality of the business, as of December 31, 2022, is indicated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Utilization</w:t>
            </w:r>
            <w:r>
              <w:rPr>
                <w:rFonts w:ascii="Times New Roman" w:cs="Times New Roman" w:eastAsia="Times New Roman" w:hAnsi="Times New Roman"/>
                <w:sz w:val="16"/>
                <w:szCs w:val="16"/>
                <w:b w:val="1"/>
                <w:bCs w:val="1"/>
                <w:color w:val="auto"/>
                <w:vertAlign w:val="superscript"/>
              </w:rPr>
              <w:t>(1)</w:t>
            </w: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Utilization</w:t>
            </w:r>
            <w:r>
              <w:rPr>
                <w:rFonts w:ascii="Times New Roman" w:cs="Times New Roman" w:eastAsia="Times New Roman" w:hAnsi="Times New Roman"/>
                <w:sz w:val="16"/>
                <w:szCs w:val="16"/>
                <w:b w:val="1"/>
                <w:bCs w:val="1"/>
                <w:color w:val="auto"/>
                <w:vertAlign w:val="superscript"/>
              </w:rPr>
              <w:t>(1)</w:t>
            </w: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Roanoke, VA</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tcBorders>
              <w:top w:val="single" w:sz="8" w:color="CCEEFF"/>
            </w:tcBorders>
            <w:shd w:val="clear" w:color="auto" w:fill="CCEEFF"/>
          </w:tcPr>
          <w:p>
            <w:pPr>
              <w:spacing w:after="0"/>
              <w:rPr>
                <w:sz w:val="14"/>
                <w:szCs w:val="14"/>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Indianapolis, IN</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1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Charlotte, NC</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0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Cincinnati, OH</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8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Nashville, TN</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0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Silver Spring, MD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r>
      <w:tr>
        <w:trPr>
          <w:trHeight w:val="1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Baltimore, MD</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0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Sandston, VA</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r>
      <w:tr>
        <w:trPr>
          <w:trHeight w:val="18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Memphis, AR</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Twinsburg, OH</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r>
    </w:tbl>
    <w:p>
      <w:pPr>
        <w:spacing w:after="0" w:line="217" w:lineRule="exact"/>
        <w:rPr>
          <w:sz w:val="20"/>
          <w:szCs w:val="20"/>
          <w:color w:val="auto"/>
        </w:rPr>
      </w:pPr>
    </w:p>
    <w:p>
      <w:pPr>
        <w:ind w:left="240" w:hanging="235"/>
        <w:spacing w:after="0"/>
        <w:tabs>
          <w:tab w:leader="none" w:pos="24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Estimated production divided by capacity, based on expected operations of six days per week and 20 hours per day.</w:t>
      </w:r>
    </w:p>
    <w:p>
      <w:pPr>
        <w:spacing w:after="0" w:line="17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In addition to the facilities noted above, the Company utilizes a portion of the production capacity from the 261,000-square foot manufacturing plant owned by SAC, a manufacturing cooperative located in Bishopville, South Carolina.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9" w:name="page20"/>
    <w:bookmarkEnd w:id="19"/>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Company’s products are generally transported to distribution centers for storage pending sale. There were no changes to the number of distribution centers by market area between December 31, 2022 and January 27, 2023.</w:t>
      </w:r>
    </w:p>
    <w:p>
      <w:pPr>
        <w:spacing w:after="0" w:line="145"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As of January 27, 2023, the Company owned and operated approximately 4,200 vehicles in the sale and distribution of the Company’s beverage products, of which approximately 2,700 were route delivery trucks. In addition, the Company owned approximately 429,000 beverage dispensing and vending machines for the sale of beverage products in the Company’s territories as of January 27, 2023.</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3.</w:t>
        <w:tab/>
        <w:t>Legal Proceedings.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is involved in various claims and legal proceedings which have arisen in the ordinary course of its business. Although it is difficult to predict the ultimate outcome of these claims and legal proceedings, management believes the ultimate disposition of these matters will not have a material adverse effect on the financial condition, results of operations or cash flows of the Company. No material amount of loss in excess of recorded amounts is believed to be reasonably possible as a result of these claims and legal proceedings.</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3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following is a description of the names and ages of the executive officers of the Company, indicating all positions and offices with the Company held by each such person and each person’s principal occupation or employment during the past five years. Each executive officer of the Company is elected by the Board of Directors and holds office from the date of election until thereafter removed by the Board.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2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Position and Office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171"/>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Frank Harrison, III</w:t>
            </w:r>
          </w:p>
        </w:tc>
        <w:tc>
          <w:tcPr>
            <w:tcW w:w="80" w:type="dxa"/>
            <w:vAlign w:val="bottom"/>
            <w:tcBorders>
              <w:top w:val="single" w:sz="8" w:color="CCEEFF"/>
            </w:tcBorders>
            <w:shd w:val="clear" w:color="auto" w:fill="CCEEFF"/>
          </w:tcPr>
          <w:p>
            <w:pPr>
              <w:spacing w:after="0"/>
              <w:rPr>
                <w:sz w:val="14"/>
                <w:szCs w:val="14"/>
                <w:color w:val="auto"/>
              </w:rPr>
            </w:pPr>
          </w:p>
        </w:tc>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Chairman of the Board of Directors and Chief Executive Officer</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r>
      <w:tr>
        <w:trPr>
          <w:trHeight w:val="18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David M. Katz</w:t>
            </w: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and Chief Operating Officer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r>
      <w:tr>
        <w:trPr>
          <w:trHeight w:val="180"/>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Scott Anthony</w:t>
            </w: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r>
      <w:tr>
        <w:trPr>
          <w:trHeight w:val="18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Matthew J. Blickley</w:t>
            </w: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Vice President, Financial Planning and Chief Accounting Officer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r>
      <w:tr>
        <w:trPr>
          <w:trHeight w:val="180"/>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G. Chambless</w:t>
            </w: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Executive Vice President, Franchise Beverage Operations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r>
      <w:tr>
        <w:trPr>
          <w:trHeight w:val="18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Donell W. Etheridge</w:t>
            </w: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Executive Vice President, Product Supply Operations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r>
      <w:tr>
        <w:trPr>
          <w:trHeight w:val="180"/>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Morgan H. Everett</w:t>
            </w: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Vice Chair of the Board of Directors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r>
      <w:tr>
        <w:trPr>
          <w:trHeight w:val="18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 Beauregarde Fisher III</w:t>
            </w: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Executive Vice President, General Counsel and Secretary</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r>
      <w:tr>
        <w:trPr>
          <w:trHeight w:val="180"/>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Christine A. Motherwell</w:t>
            </w: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Vice President, Human Resources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r>
      <w:tr>
        <w:trPr>
          <w:trHeight w:val="184"/>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Jeffrey L. Turney</w:t>
            </w: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Vice President, Strategy &amp; Business Transformation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r>
    </w:tbl>
    <w:p>
      <w:pPr>
        <w:spacing w:after="0" w:line="24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Mr. J. Frank Harrison, III </w:t>
      </w:r>
      <w:r>
        <w:rPr>
          <w:rFonts w:ascii="Times New Roman" w:cs="Times New Roman" w:eastAsia="Times New Roman" w:hAnsi="Times New Roman"/>
          <w:sz w:val="14"/>
          <w:szCs w:val="14"/>
          <w:color w:val="auto"/>
        </w:rPr>
        <w:t>was elected Chairman of the Board of Directors of the Company in December 1996 and Chief Executive Officer of the Company in May 1994. Mr. Harrison served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Vice Chairman of the Board of Directors of the Company from November 1987 to December 1996. He was first employed by the Company in 1977 and also served as a Division Sales Manager and as a Vice President.</w:t>
      </w:r>
    </w:p>
    <w:p>
      <w:pPr>
        <w:spacing w:after="0" w:line="155" w:lineRule="exact"/>
        <w:rPr>
          <w:sz w:val="20"/>
          <w:szCs w:val="20"/>
          <w:color w:val="auto"/>
        </w:rPr>
      </w:pPr>
    </w:p>
    <w:p>
      <w:pPr>
        <w:ind w:right="4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Mr. David M. Katz </w:t>
      </w:r>
      <w:r>
        <w:rPr>
          <w:rFonts w:ascii="Times New Roman" w:cs="Times New Roman" w:eastAsia="Times New Roman" w:hAnsi="Times New Roman"/>
          <w:sz w:val="14"/>
          <w:szCs w:val="14"/>
          <w:color w:val="auto"/>
        </w:rPr>
        <w:t>was elected President and Chief Operating Officer of the Company in December 2018. Prior to that, he served in various positions within the Company, including Executive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 and Chief Financial Officer from January 2018 to December 2018, Executive Vice President, Product Supply and Culture &amp; Stewardship from April 2017 to January 2018, Executive Vice President, Human Resources from April 2016 to April 2017 and Senior Vice President from January 2013 to March 2016. He held the position of Senior Vice President, Midwest Region for CCR, a wholly owned subsidiary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from November 2010 to December 2012. Prior to the formation of CCR, Mr. Katz was Vice President, Sales Operations for the East Business Unit of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Enterprises Inc. (“CCE”) from January 2010 to December 2010. From 2008 to 2010, he served as Chief Procurement Officer and as President and Chief Executive Officer of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Sales &amp; Services Company LLC. He began his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career in 1993 with CCE as a Logistics Consultant.</w:t>
      </w:r>
    </w:p>
    <w:p>
      <w:pPr>
        <w:spacing w:after="0" w:line="15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Mr. F. Scott Anthony </w:t>
      </w:r>
      <w:r>
        <w:rPr>
          <w:rFonts w:ascii="Times New Roman" w:cs="Times New Roman" w:eastAsia="Times New Roman" w:hAnsi="Times New Roman"/>
          <w:sz w:val="14"/>
          <w:szCs w:val="14"/>
          <w:color w:val="auto"/>
        </w:rPr>
        <w:t>was elected Executive Vice President and Chief Financial Officer of the Company in December 2018. Prior to that, he served as Senior Vice President, Treasurer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from November 2018 to December 2018. Before joining the Company, Mr. Anthony served as Executive Vice President, Chief Financial Officer of Ventura Foods, LLC, a privately held food solutions company, from April 2011 to September 2018. Previously, Mr. Anthony spent 21 years with CCE in a variety of roles, including Vice President, Chief Financial Officer of CCE’s North America division, Vice President, Investor Relations &amp; Planning, and Director, Acquisitions &amp; Investor Relations.</w:t>
      </w:r>
    </w:p>
    <w:p>
      <w:pPr>
        <w:spacing w:after="0" w:line="15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Mr. Matthew J. Blickley </w:t>
      </w:r>
      <w:r>
        <w:rPr>
          <w:rFonts w:ascii="Times New Roman" w:cs="Times New Roman" w:eastAsia="Times New Roman" w:hAnsi="Times New Roman"/>
          <w:sz w:val="14"/>
          <w:szCs w:val="14"/>
          <w:color w:val="auto"/>
        </w:rPr>
        <w:t>was elected Senior Vice President, Financial Planning and Chief Accounting Officer of the Company in July 2020, effective August 2020. Prior to that, he served as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 Financial Planning and Analysis of the Company from April 2018 to August 2020, as Senior Director, Financial Planning and Analysis of the Company from April 2016 to March 2018 and as Corporate Controller of the Company from November 2014 to March 2016. Before joining the Company, Mr. Blickley was with Family Dollar Stores, Inc., an operator of general merchandise retail discount stores, from January 2011 to November 2014, where he served in various senior financial roles, including Divisional Vice President, Financial Planning &amp; Analysis and Director, Financial Reporting. Mr. Blickley is a certified public accountant and began his career with PricewaterhouseCoopers LLP in 2004 where he advanced from Audit Associate to Audit Manager during his more than six years with that firm.</w:t>
      </w:r>
    </w:p>
    <w:p>
      <w:pPr>
        <w:spacing w:after="0" w:line="16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Mr. Robert G. Chambless </w:t>
      </w:r>
      <w:r>
        <w:rPr>
          <w:rFonts w:ascii="Times New Roman" w:cs="Times New Roman" w:eastAsia="Times New Roman" w:hAnsi="Times New Roman"/>
          <w:sz w:val="14"/>
          <w:szCs w:val="14"/>
          <w:color w:val="auto"/>
        </w:rPr>
        <w:t>was elected Executive Vice President, Franchise Beverage Operations of the Company in January 2018. Prior to that, he served in various positions within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Executive Vice President, Franchise Strategy and Operations from April 2016 to January 2018, Senior Vice President, Sales, Field Operations and Marketing from August 2010 to March 2016, Senior Vice President, Sales from June 2008 to July 2010, Vice President – Franchise Sales from 2003 to 2008, Region Sales Manager for the Company’s Southern Division from 2000 to 2003 and Sales Manager in the Company’s Columbia, South Carolina branch from 1997 to 2000. He also served the Company in several other positions prior to 1997 and was first employed by the Company in 1986.</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21" w:name="page22"/>
    <w:bookmarkEnd w:id="21"/>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Mr. Donell W. Etheridge </w:t>
      </w:r>
      <w:r>
        <w:rPr>
          <w:rFonts w:ascii="Times New Roman" w:cs="Times New Roman" w:eastAsia="Times New Roman" w:hAnsi="Times New Roman"/>
          <w:sz w:val="14"/>
          <w:szCs w:val="14"/>
          <w:color w:val="auto"/>
        </w:rPr>
        <w:t>was elected Executive Vice President, Product Supply Operations of the Company in March 2021. Prior to that, he served in various positions within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Senior Vice President, Product Supply Operations from September 2016 to February 2021, Vice President, Product Supply Operations from December 2013 to September 2016, Senior Director, Manufacturing from August 2011 to November 2013, Director, Operations from April 2009 to July 2011 and Plant Manager from January 2003 to March 2009. He also served the Company in several other positions prior to 2003 and was first employed by the Company in 1990.</w:t>
      </w:r>
    </w:p>
    <w:p>
      <w:pPr>
        <w:spacing w:after="0" w:line="15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Ms. Morgan H. Everett </w:t>
      </w:r>
      <w:r>
        <w:rPr>
          <w:rFonts w:ascii="Times New Roman" w:cs="Times New Roman" w:eastAsia="Times New Roman" w:hAnsi="Times New Roman"/>
          <w:sz w:val="14"/>
          <w:szCs w:val="14"/>
          <w:color w:val="auto"/>
        </w:rPr>
        <w:t>was elected Vice Chair of the Board of Directors of the Company in May 2020. Prior to that, she was Senior Vice President of the Company from April 2019 to May 2020,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Vice President of the Company from January 2016 to March 2019, and Community Relations Director of the Company from January 2009 to December 2015. Since December 2018, Ms. Everett has served as Chairman of Red Classic Services, LLC and Data Ventures, Inc., two of the Company’s operating subsidiaries. She has been an employee of the Company since October 2004.</w:t>
      </w:r>
    </w:p>
    <w:p>
      <w:pPr>
        <w:spacing w:after="0" w:line="15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Mr. E. Beauregarde Fisher III </w:t>
      </w:r>
      <w:r>
        <w:rPr>
          <w:rFonts w:ascii="Times New Roman" w:cs="Times New Roman" w:eastAsia="Times New Roman" w:hAnsi="Times New Roman"/>
          <w:sz w:val="14"/>
          <w:szCs w:val="14"/>
          <w:color w:val="auto"/>
        </w:rPr>
        <w:t>was elected Executive Vice President, General Counsel of the Company in February 2017 and Secretary of the Company in May 2017. Before joining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 was a partner with the law firm of Moore &amp; Van Allen PLLC where he served on the firm’s management committee and chaired its business law practice group. He was associated with the firm from 1998 to 2017 and concentrated his practice on mergers and acquisitions, corporate governance and general corporate matters. From 2011 to 2017, he served as the Company’s outside corporate counsel.</w:t>
      </w:r>
    </w:p>
    <w:p>
      <w:pPr>
        <w:spacing w:after="0" w:line="159" w:lineRule="exact"/>
        <w:rPr>
          <w:sz w:val="20"/>
          <w:szCs w:val="20"/>
          <w:color w:val="auto"/>
        </w:rPr>
      </w:pPr>
    </w:p>
    <w:p>
      <w:pPr>
        <w:ind w:right="100"/>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Ms. Christine A. Motherwell </w:t>
      </w:r>
      <w:r>
        <w:rPr>
          <w:rFonts w:ascii="Times New Roman" w:cs="Times New Roman" w:eastAsia="Times New Roman" w:hAnsi="Times New Roman"/>
          <w:sz w:val="14"/>
          <w:szCs w:val="14"/>
          <w:color w:val="auto"/>
        </w:rPr>
        <w:t>was elected Senior Vice President, Human Resources of the Company in September 2021, effective January 2022. Prior to that, she served in various positions within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including Vice President, Human Resources Business Partner from October 2019 to December 2021, Vice President, Home Market Sales from April 2016 to September 2019, Vice President, Walmart/Club from April 2015 to March 2016 and Senior Director, Customer Development – Walmart from February 2013 to March 2015. Before joining the Company, Ms. Motherwell was National Account Executive, Publix of The Coca-Cola Company, the world’s largest nonalcoholic beverage company, from December 2011 to February 2013. Prior to that, Ms. Motherwell was with CCR, a wholly owned subsidiary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where she served as Director, Sales from January 2011 to December 2011 and as Sales Center Manager from October 2009 to December 2010.</w:t>
      </w:r>
    </w:p>
    <w:p>
      <w:pPr>
        <w:spacing w:after="0" w:line="175" w:lineRule="exact"/>
        <w:rPr>
          <w:sz w:val="20"/>
          <w:szCs w:val="20"/>
          <w:color w:val="auto"/>
        </w:rPr>
      </w:pPr>
    </w:p>
    <w:p>
      <w:pPr>
        <w:spacing w:after="0" w:line="172" w:lineRule="exact"/>
        <w:rPr>
          <w:sz w:val="20"/>
          <w:szCs w:val="20"/>
          <w:color w:val="auto"/>
        </w:rPr>
      </w:pPr>
      <w:r>
        <w:rPr>
          <w:rFonts w:ascii="Times New Roman" w:cs="Times New Roman" w:eastAsia="Times New Roman" w:hAnsi="Times New Roman"/>
          <w:sz w:val="14"/>
          <w:szCs w:val="14"/>
          <w:b w:val="1"/>
          <w:bCs w:val="1"/>
          <w:color w:val="auto"/>
        </w:rPr>
        <w:t xml:space="preserve">Mr. Jeffrey L. Turney </w:t>
      </w:r>
      <w:r>
        <w:rPr>
          <w:rFonts w:ascii="Times New Roman" w:cs="Times New Roman" w:eastAsia="Times New Roman" w:hAnsi="Times New Roman"/>
          <w:sz w:val="14"/>
          <w:szCs w:val="14"/>
          <w:color w:val="auto"/>
        </w:rPr>
        <w:t>was elected Senior Vice President, Strategy &amp; Business Transformation of the Company in January 2019. Prior to that, he served as Senior Vice President, Planning &amp;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Administration of the Company from January 2018 to December 2018 and as Vice President, Planning &amp; Administration of the Company from December 2015 to December 2017. Before joining the Company, Mr. Turney was Vice President, Strategy &amp; Business Development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the world’s largest nonalcoholic beverage company, from January 2011 to December 2015. Mr. Turney joined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in May 2002, serving in various other strategic planning, commercial operations, customer sales and finance positions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North America division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Prior to his time in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system, Mr. Turney served consumer products and retail industry clients with Arthur Andersen Consulting from 1999 to 2002. From 1989 to 1999, he held various management and leadership roles in the consumer products and supermarket retail industry. Mr. Turney has notified the Company that he will retire in the second fiscal quarter of 2023.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2"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5.</w:t>
        <w:tab/>
        <w:t>Market for Registrant’s Common Equity, Related Stockholder Matters and Issuer Purchases of Equity Securities.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has two classes of common stock outstanding, Common Stock and Class B Common Stock. The Common Stock is traded on The Nasdaq Global Select Market under the symbol COKE. There is no established public trading market for the Class B Common Stock. Shares of Class B Common Stock are convertible on a share-for-share basis into shares of Common Stock at any time at the option of the holder.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Board of Directors determines the amount and frequency of dividends declared and paid by the Company in light of the earnings and financial condition of the Company at such time.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assurance can be given that dividends will be declared or paid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January 27, 2023, the number of stockholders of record of the Common Stock and the Class B Common Stock was 1,008 and 6,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Presented below is a line graph comparing the yearly percentage change in the cumulative total return on the Company’s Common Stock to the cumulative total return of the Standard &amp; Poor’s 500 Index and a peer group for the period commencing December 31, 2017 and ending December 31, 2022. The peer group is comprised of Keurig Dr Pepper Inc., National Beverage Corp.,</w:t>
      </w:r>
    </w:p>
    <w:p>
      <w:pPr>
        <w:spacing w:after="0" w:line="161" w:lineRule="exact"/>
        <w:rPr>
          <w:sz w:val="20"/>
          <w:szCs w:val="20"/>
          <w:color w:val="auto"/>
        </w:rPr>
      </w:pPr>
      <w:r>
        <w:rPr>
          <w:rFonts w:ascii="Times New Roman" w:cs="Times New Roman" w:eastAsia="Times New Roman" w:hAnsi="Times New Roman"/>
          <w:sz w:val="14"/>
          <w:szCs w:val="14"/>
          <w:color w:val="auto"/>
        </w:rPr>
        <w:t>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Primo Water Corporation (f/k/a Cott Corporation) and PepsiCo, Inc.</w:t>
      </w:r>
    </w:p>
    <w:p>
      <w:pPr>
        <w:spacing w:after="0" w:line="18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graph assumes $100 was invested in the Company’s Common Stock, the Standard &amp; Poor’s 500 Index and each of the companies within the peer group on December 31, 2017, and that all dividends were reinvested on a quarterly basis. Returns for the companies included in the peer group have been weighted on the basis of the total market capitalization for each company.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COMPARISON OF 5-YEAR CUMULATIVE TOTAL RETURN*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Among Coca-Cola Consolidated, Inc., the S&amp;P 500 Index and a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0" w:right="5680" w:hanging="255"/>
        <w:spacing w:after="0" w:line="287"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$100 invested on 12/31/2017 in stock or index, including reinvestment of dividends. Index calculated on a month-end basis.</w:t>
      </w:r>
    </w:p>
    <w:p>
      <w:pPr>
        <w:spacing w:after="0" w:line="14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6.</w:t>
        <w:tab/>
        <w:t>[Reserved]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2" w:right="339" w:bottom="1440" w:gutter="0" w:footer="0" w:header="0"/>
        </w:sectPr>
      </w:pPr>
    </w:p>
    <w:bookmarkStart w:id="23" w:name="page24"/>
    <w:bookmarkEnd w:id="23"/>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Management’s Discussion and Analysis of Financial Condition and Results of Operations is intended to help the reader understand our financial condition and results of operations and is provided as an addition to, and should be read in conjunction with, our consolidated financial statements and the accompanying notes to the consolidated financial statements.</w:t>
      </w:r>
    </w:p>
    <w:p>
      <w:pPr>
        <w:spacing w:after="0" w:line="145" w:lineRule="exact"/>
        <w:rPr>
          <w:sz w:val="20"/>
          <w:szCs w:val="20"/>
          <w:color w:val="auto"/>
        </w:rPr>
      </w:pPr>
    </w:p>
    <w:p>
      <w:pPr>
        <w:jc w:val="both"/>
        <w:ind w:right="280"/>
        <w:spacing w:after="0" w:line="180" w:lineRule="exact"/>
        <w:rPr>
          <w:sz w:val="20"/>
          <w:szCs w:val="20"/>
          <w:color w:val="auto"/>
        </w:rPr>
      </w:pPr>
      <w:r>
        <w:rPr>
          <w:rFonts w:ascii="Times New Roman" w:cs="Times New Roman" w:eastAsia="Times New Roman" w:hAnsi="Times New Roman"/>
          <w:sz w:val="14"/>
          <w:szCs w:val="14"/>
          <w:color w:val="auto"/>
        </w:rPr>
        <w:t>The fiscal years presented are the periods ended December 31, 2022 (“2022”) and December 31, 2021 (“2021”). Information concerning the fiscal year ended December 31, 2020 (“2020”) and a comparison of 2021 and 2020 may be found under “Item 7. Management’s Discussion and Analysis of Financial Condition and Results of Operations” in the Company’s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for 2021, filed with the SEC on February 22, 2022.</w:t>
      </w:r>
    </w:p>
    <w:p>
      <w:pPr>
        <w:spacing w:after="0" w:line="16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manages its business on the basis of three operating segments. Nonalcoholic Beverages represents the vast majority of the Company’s consolidated net sales and income from operations. The additional two operating segments do not meet the quantitative thresholds for separate reporting, either individually or in the aggregate, and, therefore, have been combined into “All Other.”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Executive Summary</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Net sales increased 11% to $6.20 billion in 2022, with physical case volume flat when compared to the prior year. The increase in net sales was driven primarily by price increases taken across our portfolio during the year while volume continued to outperform the price elasticities we have historically experienced with higher pricing. Sparkling and Still net sales increased 16.6% and 8.5%, respectively, compared to 2021. Sparkling volume grew 0.6% in 2022, driven by strong consumer demand for our multi-serve can and small bottle PET packages, while Still volume decreased 1.3% in 2022. Brands within the Sparkling category benefited from solid demand in our on-premise sales channels, including restaurants, universities, sports venues, amusement parks and other immediate consumption outlets.</w:t>
      </w:r>
    </w:p>
    <w:p>
      <w:pPr>
        <w:spacing w:after="0" w:line="16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Gross profit in 2022 increased $323.8 million, or 17%, while gross margin increased 160 basis points to 36.7%. The improvement in gross profit resulted from higher prices for our products, stable volume and prices for certain commodities moderating from historically high levels. Compared to 2021, gross margin also benefited from the increased mix of Sparkling beverages, which generally carry higher gross margins than Still packages.</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Selling, delivery and administrative (“SD&amp;A”) expenses in 2022 increased $121.9 million, or 8%. SD&amp;A expenses as a percentage of net sales in 2022 decreased 80 basis points to 26.4% as compared to 2021. The increase in SD&amp;A expenses related primarily to an increase in labor costs. Over the last year, we have made certain investments in our teammates to reward performance for their contributions in achieving strong operating results and to remain competitive in the current labor environment. In addition, we experienced broad inflationary increases across a number of SD&amp;A categories.</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Income from operations in 2022 increased $201.9 million to $641.0 million. Net income increased $240.6 million in fiscal year 2022 to $430.2 million as compared to fiscal year 2021. Net income in 2022 and 2021 was adversely impacted by fair value adjustments to our acquisition related contingent consideration liability, driven by changes in future cash flow projections and the discount rate used to compute the fair value of the liability. Income tax expense for 2022 was $144.9 million, compared to $65.6 million in 2021. The increase in income tax expense was the result of higher pre-tax income.</w:t>
      </w:r>
    </w:p>
    <w:p>
      <w:pPr>
        <w:spacing w:after="0" w:line="16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Cash flows provided by operations in 2022 were $554.5 million, compared to $521.8 million in 2021. Cash flows from operations were impacted by our strong operating performance and the timing of certain working capital payments and receipts during the current year. During 2022, we invested $298.6 million in capital expenditures as we continue to optimize our supply chain and invest for future growth. The Company reduced outstanding indebtedness by $125.0 million during the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Areas of Emphasis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priorities for the Company include commercial execution, revenue management, supply chain optimization and cash flow generation.</w:t>
      </w:r>
    </w:p>
    <w:p>
      <w:pPr>
        <w:spacing w:after="0" w:line="19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Commercial Execution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success is dependent on our ability to execute our commercial strategy within our customers’ stores. Our ability to obtain shelf space within stores and remain in-stock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across our portfolio of brands and packages in a profitable manner will have a significant impact on our results. We are focused on execution at every step in our supply chain, including raw material and finished product procurement, manufacturing conversion, transportation, warehousing and distribution, to ensure in-store execution can occur. We continue to invest in tools and technology to enable our teammates to operate more effectively and efficiently with our customers and drive long-term value in our business.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32" w:right="359" w:bottom="1440" w:gutter="0" w:footer="0" w:header="0"/>
        </w:sectPr>
      </w:pPr>
    </w:p>
    <w:bookmarkStart w:id="24" w:name="page25"/>
    <w:bookmarkEnd w:id="24"/>
    <w:p>
      <w:pPr>
        <w:ind w:right="80"/>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Revenue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revenue management strategy focuses on pricing our brands and packages optimally within product categories and channels, creating effective working relationships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customers and making disciplined fact-based decisions. Pricing decisions are made considering a variety of factors, including brand strength, competitive environment, input costs, the roles certain brands play in our product portfolio and other market conditions.</w:t>
      </w:r>
    </w:p>
    <w:p>
      <w:pPr>
        <w:spacing w:after="0" w:line="15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Supply Chain Optimization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are continually focused on optimizing our supply chain, which includes identifying nearby warehousing and distribution operations that can be consolidated into new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facilities to increase capacity, expand production capabilities, reduce overall production costs and add automation to allow the Company to better serve its customers and consumers. The Company undertook significant capital expenditures to optimize our supply chain and to invest for future growth during 2022, and expects to continue to make significant investments during 2023.</w:t>
      </w:r>
    </w:p>
    <w:p>
      <w:pPr>
        <w:spacing w:after="0" w:line="15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i w:val="1"/>
          <w:iCs w:val="1"/>
          <w:u w:val="single" w:color="auto"/>
          <w:color w:val="auto"/>
        </w:rPr>
        <w:t>Cash Flow Generation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several initiatives in place to optimize cash flow, improve profitability and prudently manage capital expenditures. We believe strengthening our balance sheet gives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the flexibility to make optimal capital allocation decisions for long-term value creation.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results of operations for 2022 and 2021 are highlighted in the table below and discussed in the following paragraphs.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6,200,957</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5,562,714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638,243</w:t>
            </w: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3,923,003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3,608,527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314,476</w:t>
            </w:r>
          </w:p>
        </w:tc>
      </w:tr>
      <w:tr>
        <w:trPr>
          <w:trHeight w:val="171"/>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2,277,954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1,954,187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323,767</w:t>
            </w: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delivery and administrative expenses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1,636,907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1,515,016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121,891</w:t>
            </w:r>
          </w:p>
        </w:tc>
      </w:tr>
      <w:tr>
        <w:trPr>
          <w:trHeight w:val="171"/>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641,047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439,171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201,876</w:t>
            </w: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(8,657)</w:t>
            </w: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150,573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(109,405)</w:t>
            </w: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319,938</w:t>
            </w: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144,929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65,569</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79,360</w:t>
            </w:r>
          </w:p>
        </w:tc>
      </w:tr>
      <w:tr>
        <w:trPr>
          <w:trHeight w:val="171"/>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430,158</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189,580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240,578</w:t>
            </w:r>
          </w:p>
        </w:tc>
      </w:tr>
      <w:tr>
        <w:trPr>
          <w:trHeight w:val="171"/>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445,784</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208,170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237,614</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20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Net sales increased $638.2 million, or 11.5%, to $6.20 billion in 2022, as compared to $5.56 billion in 2021. The largest driver of the increase in net sales was higher average bottle/can sales price per unit charged to retail customers, which led to approximately $610 million in additional net sales. Throughout 2022, the Company executed price increases across our portfolio, which, combined with steady overall volume, led to significant growth in net sales of both Sparkling and Still beverages.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Net sales by product category were as follows:</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4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Bottle/can sales:</w:t>
            </w: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Sparkling beverages</w:t>
            </w:r>
          </w:p>
        </w:tc>
        <w:tc>
          <w:tcPr>
            <w:tcW w:w="284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3,521,273</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3,020,887</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Still beverages</w:t>
            </w: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2,020,100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1,861,162</w:t>
            </w:r>
          </w:p>
        </w:tc>
        <w:tc>
          <w:tcPr>
            <w:tcW w:w="10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bottle/can sales</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5,541,373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4,882,049</w:t>
            </w:r>
          </w:p>
        </w:tc>
        <w:tc>
          <w:tcPr>
            <w:tcW w:w="1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13.5 %</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sales:</w:t>
            </w: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Sales to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w:t>
            </w: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349,837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347,185</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Post-mix sales and other</w:t>
            </w:r>
          </w:p>
        </w:tc>
        <w:tc>
          <w:tcPr>
            <w:tcW w:w="2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309,747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333,480</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sales</w:t>
            </w: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659,584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680,665</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170"/>
        </w:trPr>
        <w:tc>
          <w:tcPr>
            <w:tcW w:w="412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2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6,200,957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5,562,714</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72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41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2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Product category sales volume of physical cases and the percentage change by product category were as follows: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93"/>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71"/>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0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Bottle/can sales volume:</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spacing w:after="0"/>
              <w:rPr>
                <w:sz w:val="14"/>
                <w:szCs w:val="14"/>
                <w:color w:val="auto"/>
              </w:rPr>
            </w:pPr>
          </w:p>
        </w:tc>
      </w:tr>
      <w:tr>
        <w:trPr>
          <w:trHeight w:val="18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Sparkling beverages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254,028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8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Still beverages</w:t>
            </w: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110,601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112,008</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71"/>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bottle/can sales volume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366,115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366,036</w:t>
            </w:r>
          </w:p>
        </w:tc>
        <w:tc>
          <w:tcPr>
            <w:tcW w:w="8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0"/>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the Company introduces new products, it reassesses the category assigned to its products at the SKU level, therefore categorization could differ from previously presented results to conform with current period categorization. Any differences are not material.</w:t>
      </w:r>
    </w:p>
    <w:p>
      <w:pPr>
        <w:spacing w:after="0" w:line="14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percentage of the Company’s total bottle/can sales volume to its largest customers, as well as the percentage of the Company’s total net sales that such volume represents:</w:t>
      </w:r>
    </w:p>
    <w:p>
      <w:pPr>
        <w:sectPr>
          <w:pgSz w:w="11900" w:h="16838" w:orient="portrait"/>
          <w:cols w:equalWidth="0" w:num="1">
            <w:col w:w="11280"/>
          </w:cols>
          <w:pgMar w:left="300" w:top="634" w:right="31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Approximate percent of the Company’s total bottle/can sales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61530" cy="121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Wal-Mart Stores,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Kroger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approximate percent of the Company’s total bottle/can sales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Approximate percent of the Company’s total net sales: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Wal-Mart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The Kroger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approximate percent of the Company’s total net sales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9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47"/>
        </w:trPr>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4"/>
        </w:trPr>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71"/>
        </w:trPr>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32 %</w:t>
            </w:r>
          </w:p>
        </w:tc>
        <w:tc>
          <w:tcPr>
            <w:tcW w:w="80" w:type="dxa"/>
            <w:vAlign w:val="bottom"/>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33 %</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519"/>
        </w:trPr>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4"/>
        </w:trPr>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71"/>
        </w:trPr>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26 %</w:t>
            </w:r>
          </w:p>
        </w:tc>
        <w:tc>
          <w:tcPr>
            <w:tcW w:w="80" w:type="dxa"/>
            <w:vAlign w:val="bottom"/>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23 %</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598" w:lineRule="exact"/>
        <w:rPr>
          <w:sz w:val="20"/>
          <w:szCs w:val="20"/>
          <w:color w:val="auto"/>
        </w:rPr>
      </w:pPr>
    </w:p>
    <w:p>
      <w:pPr>
        <w:sectPr>
          <w:pgSz w:w="11900" w:h="16838" w:orient="portrait"/>
          <w:cols w:equalWidth="0" w:num="2">
            <w:col w:w="6520" w:space="720"/>
            <w:col w:w="4040"/>
          </w:cols>
          <w:pgMar w:left="300" w:top="634" w:right="319" w:bottom="1440" w:gutter="0" w:footer="0" w:header="0"/>
          <w:type w:val="continuous"/>
        </w:sectPr>
      </w:pPr>
    </w:p>
    <w:p>
      <w:pPr>
        <w:spacing w:after="0" w:line="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Inputs representing a substantial portion of the Company’s cost of sales include: (i) purchases of finished products, (ii) raw material costs, including aluminum cans, plastic bottles, carbon dioxide and sweetener, (iii) concentrate costs and (iv) manufacturing costs, including labor, overhead and warehouse costs. In addition, cost of sales includes shipping, handling and fuel costs related to the movement of finished products from manufacturing plants to distribution centers, amortization expense of distribution rights, distribution fees of certain products and marketing credits from brand companies. Raw material costs represent approximately 20% of total cost of sales on an annual basis.</w:t>
      </w:r>
    </w:p>
    <w:p>
      <w:pPr>
        <w:spacing w:after="0" w:line="16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Cost of sales increased $314.5 million, or 8.7%, to $3.92 billion in 2022, as compared to $3.61 billion in 2021. The increase in cost of sales was driven by approximately $365 million in increased input costs, including aluminum, PET resin and transportation costs, largely due to the impacts of continued inflation, as well as the shift in product mix to meet consumer preferences.</w:t>
      </w:r>
    </w:p>
    <w:p>
      <w:pPr>
        <w:spacing w:after="0" w:line="124" w:lineRule="exact"/>
        <w:rPr>
          <w:sz w:val="20"/>
          <w:szCs w:val="20"/>
          <w:color w:val="auto"/>
        </w:rPr>
      </w:pPr>
    </w:p>
    <w:p>
      <w:pPr>
        <w:ind w:right="120"/>
        <w:spacing w:after="0" w:line="179" w:lineRule="exact"/>
        <w:rPr>
          <w:sz w:val="20"/>
          <w:szCs w:val="20"/>
          <w:color w:val="auto"/>
        </w:rPr>
      </w:pPr>
      <w:r>
        <w:rPr>
          <w:rFonts w:ascii="Times New Roman" w:cs="Times New Roman" w:eastAsia="Times New Roman" w:hAnsi="Times New Roman"/>
          <w:sz w:val="14"/>
          <w:szCs w:val="14"/>
          <w:color w:val="auto"/>
        </w:rPr>
        <w:t>The Company relies extensively on advertising and sales promotions in the marketing of its products.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that supply concentrates, syrups and finished products to the Company make substantial marketing and advertising expenditures, including national advertising programs, to develop their brand identities and to promote sales in the Company’s territories. Certain of these marketing and advertising expenditures are made pursuant to annual arrangements. Total marketing funding support from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which includes both direct payments to the Company and payments to customers for marketing programs, was $147.3 million in 2022, as compared to $133.1 million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Delivery and Administrative Expenses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SD&amp;A expenses include the following: sales management labor costs, distribution costs resulting from transporting finished products from distribution centers to customer locations, distribution center overhead including depreciation expense, distribution center warehousing costs, delivery vehicles and cold drink equipment, point-of-sale expenses, advertising expenses, cold drink equipment repair costs, amortization of intangible assets and administrative support labor and operating costs.</w:t>
      </w:r>
    </w:p>
    <w:p>
      <w:pPr>
        <w:spacing w:after="0" w:line="15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SD&amp;A expenses increased $121.9 million, or 8.0%, to $1.64 billion in 2022, as compared to $1.52 billion in 2021. SD&amp;A expenses as a percentage of net sales decreased to 26.4% in 2022 from 27.2% in 2021. Of the increase in SD&amp;A expenses, approximately $75 million was driven by an increase in payroll expense due to certain investments in our teammates to reward them for their</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type w:val="continuous"/>
        </w:sectPr>
      </w:pPr>
    </w:p>
    <w:bookmarkStart w:id="26" w:name="page27"/>
    <w:bookmarkEnd w:id="26"/>
    <w:p>
      <w:pPr>
        <w:ind w:right="140"/>
        <w:spacing w:after="0" w:line="270" w:lineRule="auto"/>
        <w:rPr>
          <w:sz w:val="20"/>
          <w:szCs w:val="20"/>
          <w:color w:val="auto"/>
        </w:rPr>
      </w:pPr>
      <w:r>
        <w:rPr>
          <w:rFonts w:ascii="Times New Roman" w:cs="Times New Roman" w:eastAsia="Times New Roman" w:hAnsi="Times New Roman"/>
          <w:sz w:val="14"/>
          <w:szCs w:val="14"/>
          <w:color w:val="auto"/>
        </w:rPr>
        <w:t>contributions in achieving strong operating results and to remain competitive in the current labor environment. In addition, approximately $15 million of the increase in SD&amp;A expenses was driven by an increase in commitments to various charities and donor-advised funds in light of the Company’s financial performance. The remaining increase in SD&amp;A expenses was primarily driven by broad inflationary increases across a number of SD&amp;A categories as compared to 2021.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Shipping and handling costs included in SD&amp;A expenses were $756.9 million in 2022 and $674.3 million in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 Net</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Interest expense, net decreased $8.7 million, or 25.9%, to $24.8 million in 2022, as compared to $33.4 million in 2021. The decrease was primarily a result of lower average debt balances, as well as an increase in interest income due to higher cash equivalent balances and increased yields.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Expense, Net</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Other expense, net decreased $109.4 million to $41.2 million in 2022, as compared to $150.6 million in 2021. The decrease in other expense, net was driven by $114.0 million related to the change in the fair value of acquisition related contingent consideration liability. The decrease in other expense, net was partially offset by an increase of $4.6 million in the non-service cost component of net periodic benefit cost.</w:t>
      </w:r>
    </w:p>
    <w:p>
      <w:pPr>
        <w:spacing w:after="0" w:line="15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During 2023, the Company anticipates a significant non-cash charge related to the termination of the primary Company-sponsored pension plan (the “Primary Plan”), which will be recorded in other expense, net in the consolidated statement of operations. The charge will relate primarily to a reclassification of actuarial losses from accumulated other comprehensive loss. As of December 31, 2022, the gross actuarial losses included in accumulated other comprehensive loss associated with the Primary Plan were approximately $117 million. See Note 16 to the consolidated financial statements for additional information related to the Company’s pension plans.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Each reporting period, the Company adjusts its acquisition related contingent consideration liability related to the distribution territories subject to acquisition related sub-bottling payments to fair value. The fair value is determined by discounting future expected acquisition related sub-bottling payments required under the CBA, which extend through the life of the related distribution assets acquired in each distribution territory, using the Company’s estimated weighted average cost of capital (“WACC”), which is impacted by many factors, including long-term interest rates and future cash flow projections. The life of these distribution assets is generally 40 years. The Company is required to pay the current portion of the acquisition related sub-bottling payments on a quarterly basis.</w:t>
      </w:r>
    </w:p>
    <w:p>
      <w:pPr>
        <w:spacing w:after="0" w:line="16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change in the fair value of the acquisition related contingent consideration liability in 2022 as compared to 2021 was primarily driven by an increase in the discount rate used to calculate fair value, as well as the change in projections of future cash flows in the distribution territories subject to acquisition related sub-bottling payments.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 Expense</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Company’s effective income tax rate, calculated by dividing income tax expense by income before taxes, was 25.2% for 2022 and 25.7% for 2021. The Company’s income tax expense increased $79.4 million, or 121.0%, to $144.9 million in 2022, as compared to $65.6 million in 2021. The increase in income tax expense was primarily attributable to higher income before taxes during 2022 compared to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Comprehensive Income, Net of Tax</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Company had other comprehensive income, net of tax of $15.6 million in 2022 and $18.6 million in 2021. The decline was primarily a result of changes in actuarial gains on the Company’s pension and postretirement benefit plans in 2022 as compared to 2021. As noted in the discussion of other expense, net above, the Company anticipates a significant non-cash charge during 2023 related to the termination of the Primary Plan, which will also impact other comprehensive income, net of tax. See Note 16 to the consolidated financial statements for additional information related to the Company’s pension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Segment Operating Results</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Company evaluates segment reporting in accordance with Financial Accounting Standards Board Accounting Standards Codification Topic 280, Segment Reporting, each reporting period, including evaluating the reporting package reviewed by the Chief Operating Decision Maker (the “CODM”). The Company has concluded the Chief Executive Officer, the Chief Operating Officer and the Chief Financial Officer, as a group, represent the CODM. Asset information is not provided to the CODM.</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27" w:name="page28"/>
    <w:bookmarkEnd w:id="27"/>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believes three operating segments exist. Nonalcoholic Beverages represents the vast majority of the Company’s consolidated net sales and income from operations. The additional two operating segments do not meet the quantitative thresholds for separate reporting, either individually or in the aggregate, and, therefore, have been combined into “All Other.”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segment results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40" w:type="dxa"/>
            <w:vAlign w:val="bottom"/>
            <w:tcBorders>
              <w:bottom w:val="single" w:sz="8" w:color="auto"/>
            </w:tcBorders>
          </w:tcPr>
          <w:p>
            <w:pPr>
              <w:spacing w:after="0"/>
              <w:rPr>
                <w:sz w:val="16"/>
                <w:szCs w:val="16"/>
                <w:color w:val="auto"/>
              </w:rPr>
            </w:pP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Pr>
          <w:p>
            <w:pPr>
              <w:spacing w:after="0"/>
              <w:rPr>
                <w:sz w:val="14"/>
                <w:szCs w:val="14"/>
                <w:color w:val="auto"/>
              </w:rPr>
            </w:pPr>
          </w:p>
        </w:tc>
        <w:tc>
          <w:tcPr>
            <w:tcW w:w="142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Nonalcoholic Beverages</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6,081,357</w:t>
            </w:r>
          </w:p>
        </w:tc>
        <w:tc>
          <w:tcPr>
            <w:tcW w:w="100" w:type="dxa"/>
            <w:vAlign w:val="bottom"/>
          </w:tcPr>
          <w:p>
            <w:pPr>
              <w:spacing w:after="0"/>
              <w:rPr>
                <w:sz w:val="15"/>
                <w:szCs w:val="15"/>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5,432,669</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399,359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366,855</w:t>
            </w:r>
          </w:p>
        </w:tc>
      </w:tr>
      <w:tr>
        <w:trPr>
          <w:trHeight w:val="180"/>
        </w:trPr>
        <w:tc>
          <w:tcPr>
            <w:tcW w:w="744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8"/>
                <w:szCs w:val="18"/>
                <w:color w:val="auto"/>
                <w:vertAlign w:val="superscript"/>
              </w:rPr>
              <w:t>(1)</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(279,759)</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(236,810)</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net sales</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6,200,957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5,562,714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Nonalcoholic Beverages</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639,136</w:t>
            </w:r>
          </w:p>
        </w:tc>
        <w:tc>
          <w:tcPr>
            <w:tcW w:w="100" w:type="dxa"/>
            <w:vAlign w:val="bottom"/>
          </w:tcPr>
          <w:p>
            <w:pPr>
              <w:spacing w:after="0"/>
              <w:rPr>
                <w:sz w:val="15"/>
                <w:szCs w:val="15"/>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456,713</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(17,542)</w:t>
            </w: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income from operations</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641,047</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439,171</w:t>
            </w: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right="120" w:hanging="255"/>
        <w:spacing w:after="0" w:line="230" w:lineRule="auto"/>
        <w:tabs>
          <w:tab w:leader="none" w:pos="25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entire net sales elimination represents net sales from the All Other segment to the Nonalcoholic Beverages segment. Sales between these segments are recognized at either fair market value or cost depending on the nature of the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Adjusted Results (Non-GAAP)</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reports its financial results in accordance with accounting principles generally accepted in the United States (“GAAP”). However, management believes that certain non-GAAP financial measures provide users of the financial statements with additional, meaningful financial information that should be considered when assessing the Company’s ongoing performance. Management also uses these non-GAAP financial measures in making financial, operating and planning decisions and in evaluating the Company’s performance. Non-GAAP financial measures should be viewed in addition to, and not as an alternative for, the Company’s reported results prepared in accordance with GAAP. The Company’s non-GAAP financial information does not represent a comprehensive basis of accounting.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reconcile reported results (GAAP) to adjusted results (non-GAAP):</w:t>
      </w:r>
    </w:p>
    <w:p>
      <w:pPr>
        <w:spacing w:after="0" w:line="23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Fiscal Year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140"/>
              <w:spacing w:after="0" w:line="119"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w w:val="97"/>
              </w:rPr>
              <w:t>SD&amp;A</w:t>
            </w: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Income from</w:t>
            </w: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Income before</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80"/>
              <w:spacing w:after="0" w:line="119"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ind w:right="276"/>
              <w:spacing w:after="0" w:line="119" w:lineRule="exact"/>
              <w:rPr>
                <w:sz w:val="20"/>
                <w:szCs w:val="20"/>
                <w:color w:val="auto"/>
              </w:rPr>
            </w:pPr>
            <w:r>
              <w:rPr>
                <w:rFonts w:ascii="Times New Roman" w:cs="Times New Roman" w:eastAsia="Times New Roman" w:hAnsi="Times New Roman"/>
                <w:sz w:val="13"/>
                <w:szCs w:val="13"/>
                <w:b w:val="1"/>
                <w:bCs w:val="1"/>
                <w:color w:val="auto"/>
              </w:rPr>
              <w:t>Basic net income</w:t>
            </w:r>
          </w:p>
        </w:tc>
        <w:tc>
          <w:tcPr>
            <w:tcW w:w="0" w:type="dxa"/>
            <w:vAlign w:val="bottom"/>
          </w:tcPr>
          <w:p>
            <w:pPr>
              <w:spacing w:after="0"/>
              <w:rPr>
                <w:sz w:val="1"/>
                <w:szCs w:val="1"/>
                <w:color w:val="auto"/>
              </w:rPr>
            </w:pPr>
          </w:p>
        </w:tc>
      </w:tr>
      <w:tr>
        <w:trPr>
          <w:trHeight w:val="169"/>
        </w:trPr>
        <w:tc>
          <w:tcPr>
            <w:tcW w:w="3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profit</w:t>
            </w:r>
          </w:p>
        </w:tc>
        <w:tc>
          <w:tcPr>
            <w:tcW w:w="1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expenses</w:t>
            </w: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operations</w:t>
            </w: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2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200" w:type="dxa"/>
            <w:vAlign w:val="bottom"/>
          </w:tcPr>
          <w:p>
            <w:pPr>
              <w:spacing w:after="0"/>
              <w:rPr>
                <w:sz w:val="14"/>
                <w:szCs w:val="14"/>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0" w:type="dxa"/>
            <w:vAlign w:val="bottom"/>
          </w:tcPr>
          <w:p>
            <w:pPr>
              <w:spacing w:after="0"/>
              <w:rPr>
                <w:sz w:val="1"/>
                <w:szCs w:val="1"/>
                <w:color w:val="auto"/>
              </w:rPr>
            </w:pPr>
          </w:p>
        </w:tc>
      </w:tr>
      <w:tr>
        <w:trPr>
          <w:trHeight w:val="162"/>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Reported results (GAAP)</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2,277,954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1,636,907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641,047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575,087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430,158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45.88</w:t>
            </w:r>
          </w:p>
        </w:tc>
        <w:tc>
          <w:tcPr>
            <w:tcW w:w="0" w:type="dxa"/>
            <w:vAlign w:val="bottom"/>
          </w:tcPr>
          <w:p>
            <w:pPr>
              <w:spacing w:after="0"/>
              <w:rPr>
                <w:sz w:val="1"/>
                <w:szCs w:val="1"/>
                <w:color w:val="auto"/>
              </w:rPr>
            </w:pPr>
          </w:p>
        </w:tc>
      </w:tr>
      <w:tr>
        <w:trPr>
          <w:trHeight w:val="127"/>
        </w:trPr>
        <w:tc>
          <w:tcPr>
            <w:tcW w:w="360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Fair value adjustment of acquisition related contingent</w:t>
            </w:r>
          </w:p>
        </w:tc>
        <w:tc>
          <w:tcPr>
            <w:tcW w:w="20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32,301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24,306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0" w:type="dxa"/>
            <w:vAlign w:val="bottom"/>
          </w:tcPr>
          <w:p>
            <w:pPr>
              <w:spacing w:after="0"/>
              <w:rPr>
                <w:sz w:val="1"/>
                <w:szCs w:val="1"/>
                <w:color w:val="auto"/>
              </w:rPr>
            </w:pPr>
          </w:p>
        </w:tc>
      </w:tr>
      <w:tr>
        <w:trPr>
          <w:trHeight w:val="170"/>
        </w:trPr>
        <w:tc>
          <w:tcPr>
            <w:tcW w:w="36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consideration</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Fair value adjustments for commodity derivative instruments</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0" w:type="dxa"/>
            <w:vAlign w:val="bottom"/>
          </w:tcPr>
          <w:p>
            <w:pPr>
              <w:spacing w:after="0"/>
              <w:rPr>
                <w:sz w:val="1"/>
                <w:szCs w:val="1"/>
                <w:color w:val="auto"/>
              </w:rPr>
            </w:pPr>
          </w:p>
        </w:tc>
      </w:tr>
      <w:tr>
        <w:trPr>
          <w:trHeight w:val="170"/>
        </w:trPr>
        <w:tc>
          <w:tcPr>
            <w:tcW w:w="3600" w:type="dxa"/>
            <w:vAlign w:val="bottom"/>
            <w:tcBorders>
              <w:bottom w:val="single" w:sz="8" w:color="CCEEFF"/>
            </w:tcBorders>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Supply chain optimization</w:t>
            </w:r>
            <w:r>
              <w:rPr>
                <w:rFonts w:ascii="Times New Roman" w:cs="Times New Roman" w:eastAsia="Times New Roman" w:hAnsi="Times New Roman"/>
                <w:sz w:val="16"/>
                <w:szCs w:val="16"/>
                <w:color w:val="auto"/>
                <w:vertAlign w:val="superscript"/>
              </w:rPr>
              <w:t>(3)</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5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reconciling items</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3,866</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3,512</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35,813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26,949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2.87</w:t>
            </w:r>
          </w:p>
        </w:tc>
        <w:tc>
          <w:tcPr>
            <w:tcW w:w="0" w:type="dxa"/>
            <w:vAlign w:val="bottom"/>
          </w:tcPr>
          <w:p>
            <w:pPr>
              <w:spacing w:after="0"/>
              <w:rPr>
                <w:sz w:val="1"/>
                <w:szCs w:val="1"/>
                <w:color w:val="auto"/>
              </w:rPr>
            </w:pPr>
          </w:p>
        </w:tc>
      </w:tr>
      <w:tr>
        <w:trPr>
          <w:trHeight w:val="162"/>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results (non-GAAP)</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2,281,820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1,637,261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644,559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610,900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457,107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48.75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600" w:type="dxa"/>
            <w:vAlign w:val="bottom"/>
            <w:gridSpan w:val="2"/>
          </w:tcPr>
          <w:p>
            <w:pPr>
              <w:ind w:left="280"/>
              <w:spacing w:after="0"/>
              <w:rPr>
                <w:sz w:val="20"/>
                <w:szCs w:val="20"/>
                <w:color w:val="auto"/>
              </w:rPr>
            </w:pPr>
            <w:r>
              <w:rPr>
                <w:rFonts w:ascii="Times New Roman" w:cs="Times New Roman" w:eastAsia="Times New Roman" w:hAnsi="Times New Roman"/>
                <w:sz w:val="13"/>
                <w:szCs w:val="13"/>
                <w:i w:val="1"/>
                <w:iCs w:val="1"/>
                <w:color w:val="auto"/>
              </w:rPr>
              <w:t>Adjusted percentage change versus 2021</w:t>
            </w:r>
          </w:p>
        </w:tc>
        <w:tc>
          <w:tcPr>
            <w:tcW w:w="200" w:type="dxa"/>
            <w:vAlign w:val="bottom"/>
          </w:tcPr>
          <w:p>
            <w:pPr>
              <w:spacing w:after="0"/>
              <w:rPr>
                <w:sz w:val="22"/>
                <w:szCs w:val="22"/>
                <w:color w:val="auto"/>
              </w:rPr>
            </w:pPr>
          </w:p>
        </w:tc>
        <w:tc>
          <w:tcPr>
            <w:tcW w:w="800" w:type="dxa"/>
            <w:vAlign w:val="bottom"/>
          </w:tcPr>
          <w:p>
            <w:pPr>
              <w:jc w:val="right"/>
              <w:ind w:right="56"/>
              <w:spacing w:after="0"/>
              <w:rPr>
                <w:sz w:val="20"/>
                <w:szCs w:val="20"/>
                <w:color w:val="auto"/>
              </w:rPr>
            </w:pPr>
            <w:r>
              <w:rPr>
                <w:rFonts w:ascii="Times New Roman" w:cs="Times New Roman" w:eastAsia="Times New Roman" w:hAnsi="Times New Roman"/>
                <w:sz w:val="13"/>
                <w:szCs w:val="13"/>
                <w:i w:val="1"/>
                <w:iCs w:val="1"/>
                <w:color w:val="auto"/>
              </w:rPr>
              <w:t>16.5 %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8.0 %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45.7 %</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28" w:name="page29"/>
    <w:bookmarkEnd w:id="28"/>
    <w:p>
      <w:pPr>
        <w:ind w:left="6940"/>
        <w:spacing w:after="0"/>
        <w:rPr>
          <w:sz w:val="20"/>
          <w:szCs w:val="20"/>
          <w:color w:val="auto"/>
        </w:rPr>
      </w:pPr>
      <w:r>
        <w:rPr>
          <w:rFonts w:ascii="Times New Roman" w:cs="Times New Roman" w:eastAsia="Times New Roman" w:hAnsi="Times New Roman"/>
          <w:sz w:val="14"/>
          <w:szCs w:val="14"/>
          <w:b w:val="1"/>
          <w:bCs w:val="1"/>
          <w:color w:val="auto"/>
        </w:rPr>
        <w:t>Fiscal Year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140"/>
              <w:spacing w:after="0" w:line="119"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w w:val="97"/>
              </w:rPr>
              <w:t>SD&amp;A</w:t>
            </w: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Income from</w:t>
            </w: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Income before</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80"/>
              <w:spacing w:after="0" w:line="119"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ind w:right="276"/>
              <w:spacing w:after="0" w:line="119" w:lineRule="exact"/>
              <w:rPr>
                <w:sz w:val="20"/>
                <w:szCs w:val="20"/>
                <w:color w:val="auto"/>
              </w:rPr>
            </w:pPr>
            <w:r>
              <w:rPr>
                <w:rFonts w:ascii="Times New Roman" w:cs="Times New Roman" w:eastAsia="Times New Roman" w:hAnsi="Times New Roman"/>
                <w:sz w:val="13"/>
                <w:szCs w:val="13"/>
                <w:b w:val="1"/>
                <w:bCs w:val="1"/>
                <w:color w:val="auto"/>
              </w:rPr>
              <w:t>Basic net income</w:t>
            </w:r>
          </w:p>
        </w:tc>
        <w:tc>
          <w:tcPr>
            <w:tcW w:w="0" w:type="dxa"/>
            <w:vAlign w:val="bottom"/>
          </w:tcPr>
          <w:p>
            <w:pPr>
              <w:spacing w:after="0"/>
              <w:rPr>
                <w:sz w:val="1"/>
                <w:szCs w:val="1"/>
                <w:color w:val="auto"/>
              </w:rPr>
            </w:pPr>
          </w:p>
        </w:tc>
      </w:tr>
      <w:tr>
        <w:trPr>
          <w:trHeight w:val="169"/>
        </w:trPr>
        <w:tc>
          <w:tcPr>
            <w:tcW w:w="3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profit</w:t>
            </w:r>
          </w:p>
        </w:tc>
        <w:tc>
          <w:tcPr>
            <w:tcW w:w="1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expenses</w:t>
            </w: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operations</w:t>
            </w: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2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200" w:type="dxa"/>
            <w:vAlign w:val="bottom"/>
          </w:tcPr>
          <w:p>
            <w:pPr>
              <w:spacing w:after="0"/>
              <w:rPr>
                <w:sz w:val="14"/>
                <w:szCs w:val="14"/>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0" w:type="dxa"/>
            <w:vAlign w:val="bottom"/>
          </w:tcPr>
          <w:p>
            <w:pPr>
              <w:spacing w:after="0"/>
              <w:rPr>
                <w:sz w:val="1"/>
                <w:szCs w:val="1"/>
                <w:color w:val="auto"/>
              </w:rPr>
            </w:pPr>
          </w:p>
        </w:tc>
      </w:tr>
      <w:tr>
        <w:trPr>
          <w:trHeight w:val="162"/>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Reported results (GAAP)</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1,954,187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1,515,016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439,171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255,149</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189,580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27"/>
        </w:trPr>
        <w:tc>
          <w:tcPr>
            <w:tcW w:w="360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Fair value adjustment of acquisition related contingent</w:t>
            </w:r>
          </w:p>
        </w:tc>
        <w:tc>
          <w:tcPr>
            <w:tcW w:w="20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146,308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109,731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0" w:type="dxa"/>
            <w:vAlign w:val="bottom"/>
          </w:tcPr>
          <w:p>
            <w:pPr>
              <w:spacing w:after="0"/>
              <w:rPr>
                <w:sz w:val="1"/>
                <w:szCs w:val="1"/>
                <w:color w:val="auto"/>
              </w:rPr>
            </w:pPr>
          </w:p>
        </w:tc>
      </w:tr>
      <w:tr>
        <w:trPr>
          <w:trHeight w:val="170"/>
        </w:trPr>
        <w:tc>
          <w:tcPr>
            <w:tcW w:w="36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consideration</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Fair value adjustments for commodity derivative instruments</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(0.42)</w:t>
            </w:r>
          </w:p>
        </w:tc>
        <w:tc>
          <w:tcPr>
            <w:tcW w:w="0" w:type="dxa"/>
            <w:vAlign w:val="bottom"/>
          </w:tcPr>
          <w:p>
            <w:pPr>
              <w:spacing w:after="0"/>
              <w:rPr>
                <w:sz w:val="1"/>
                <w:szCs w:val="1"/>
                <w:color w:val="auto"/>
              </w:rPr>
            </w:pPr>
          </w:p>
        </w:tc>
      </w:tr>
      <w:tr>
        <w:trPr>
          <w:trHeight w:val="170"/>
        </w:trPr>
        <w:tc>
          <w:tcPr>
            <w:tcW w:w="3600" w:type="dxa"/>
            <w:vAlign w:val="bottom"/>
            <w:tcBorders>
              <w:bottom w:val="single" w:sz="8" w:color="CCEEFF"/>
            </w:tcBorders>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Supply chain optimization</w:t>
            </w:r>
            <w:r>
              <w:rPr>
                <w:rFonts w:ascii="Times New Roman" w:cs="Times New Roman" w:eastAsia="Times New Roman" w:hAnsi="Times New Roman"/>
                <w:sz w:val="16"/>
                <w:szCs w:val="16"/>
                <w:color w:val="auto"/>
                <w:vertAlign w:val="superscript"/>
              </w:rPr>
              <w:t>(3)</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8,489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8,489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0" w:type="dxa"/>
            <w:vAlign w:val="bottom"/>
          </w:tcPr>
          <w:p>
            <w:pPr>
              <w:spacing w:after="0"/>
              <w:rPr>
                <w:sz w:val="1"/>
                <w:szCs w:val="1"/>
                <w:color w:val="auto"/>
              </w:rPr>
            </w:pPr>
          </w:p>
        </w:tc>
      </w:tr>
      <w:tr>
        <w:trPr>
          <w:trHeight w:val="15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reconciling items</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4,073</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3,248</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149,556</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112,167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11.96</w:t>
            </w:r>
          </w:p>
        </w:tc>
        <w:tc>
          <w:tcPr>
            <w:tcW w:w="0" w:type="dxa"/>
            <w:vAlign w:val="bottom"/>
          </w:tcPr>
          <w:p>
            <w:pPr>
              <w:spacing w:after="0"/>
              <w:rPr>
                <w:sz w:val="1"/>
                <w:szCs w:val="1"/>
                <w:color w:val="auto"/>
              </w:rPr>
            </w:pPr>
          </w:p>
        </w:tc>
      </w:tr>
      <w:tr>
        <w:trPr>
          <w:trHeight w:val="162"/>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results (non-GAAP)</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1,958,260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1,515,841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442,419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404,705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301,747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32.19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is an explanation of non-GAAP adjustments:</w:t>
      </w:r>
    </w:p>
    <w:p>
      <w:pPr>
        <w:spacing w:after="0" w:line="200" w:lineRule="exact"/>
        <w:rPr>
          <w:sz w:val="20"/>
          <w:szCs w:val="20"/>
          <w:color w:val="auto"/>
        </w:rPr>
      </w:pPr>
    </w:p>
    <w:p>
      <w:pPr>
        <w:ind w:left="260" w:right="80" w:hanging="255"/>
        <w:spacing w:after="0" w:line="230" w:lineRule="auto"/>
        <w:tabs>
          <w:tab w:leader="none" w:pos="25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non-cash, fair value adjustment of acquisition related contingent consideration fluctuates based on factors such as long-term interest rates and future cash flow projections of the distribution territories subject to acquisition related sub-bottling payments.</w:t>
      </w:r>
    </w:p>
    <w:p>
      <w:pPr>
        <w:spacing w:after="0" w:line="177" w:lineRule="exact"/>
        <w:rPr>
          <w:rFonts w:ascii="Times New Roman" w:cs="Times New Roman" w:eastAsia="Times New Roman" w:hAnsi="Times New Roman"/>
          <w:sz w:val="18"/>
          <w:szCs w:val="18"/>
          <w:color w:val="auto"/>
          <w:vertAlign w:val="superscript"/>
        </w:rPr>
      </w:pPr>
    </w:p>
    <w:p>
      <w:pPr>
        <w:ind w:left="260" w:right="120" w:hanging="255"/>
        <w:spacing w:after="0" w:line="230" w:lineRule="auto"/>
        <w:tabs>
          <w:tab w:leader="none" w:pos="25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enters into commodity derivative instruments from time to time to hedge some or all of its projected purchases of aluminum, PET resin, diesel fuel and unleaded gasoline in order to mitigate commodity price risk. The Company accounts for its commodity derivative instruments on a mark-to-market basis.</w:t>
      </w:r>
    </w:p>
    <w:p>
      <w:pPr>
        <w:spacing w:after="0" w:line="154" w:lineRule="exact"/>
        <w:rPr>
          <w:rFonts w:ascii="Times New Roman" w:cs="Times New Roman" w:eastAsia="Times New Roman" w:hAnsi="Times New Roman"/>
          <w:sz w:val="18"/>
          <w:szCs w:val="18"/>
          <w:color w:val="auto"/>
          <w:vertAlign w:val="superscript"/>
        </w:rPr>
      </w:pPr>
    </w:p>
    <w:p>
      <w:pPr>
        <w:ind w:left="240" w:hanging="235"/>
        <w:spacing w:after="0"/>
        <w:tabs>
          <w:tab w:leader="none" w:pos="24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Adjustment reflects expenses within the Nonalcoholic Beverages segment as the Company continues to optimize efficiency opportunities across its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Financial Condition</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Total assets increased $264.0 million to $3.71 billion on December 31, 2022, as compared to $3.45 billion on December 31, 2021. Net working capital, defined as current assets less current liabilities, was $340.6 million on December 31, 2022, which was an increase of $98.8 million from December 31,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changes in net working capital on December 31, 2022 from December 31, 2021 were as follows:</w:t>
      </w:r>
    </w:p>
    <w:p>
      <w:pPr>
        <w:spacing w:after="0" w:line="200" w:lineRule="exact"/>
        <w:rPr>
          <w:sz w:val="20"/>
          <w:szCs w:val="20"/>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cash and cash equivalents of $55.3 million primarily as a result of our strong operating performance.</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accounts receivable, trade of $59.8 million, driven primarily by increased net sales and the timing of cash receipts.</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inventories of $44.7 million, driven primarily by higher inventory levels and increased input costs due to inflation.</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accounts payable, trade of $32.4 million due to the timing of cash payments.</w:t>
      </w:r>
    </w:p>
    <w:p>
      <w:pPr>
        <w:spacing w:after="0" w:line="8" w:lineRule="exact"/>
        <w:rPr>
          <w:rFonts w:ascii="Times New Roman" w:cs="Times New Roman" w:eastAsia="Times New Roman" w:hAnsi="Times New Roman"/>
          <w:sz w:val="14"/>
          <w:szCs w:val="14"/>
          <w:color w:val="auto"/>
        </w:rPr>
      </w:pPr>
    </w:p>
    <w:p>
      <w:pPr>
        <w:ind w:left="260" w:right="220" w:hanging="255"/>
        <w:spacing w:after="0" w:line="266" w:lineRule="auto"/>
        <w:tabs>
          <w:tab w:leader="none" w:pos="2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other accrued liabilities of $28.5 million primarily due to the payment of the remaining deferred payroll taxes under the Coronavirus Aid, Relief and Economic Security Act (the “CARES Act”) during 2022, as well as a reduction in the current portion of acquisition related contingent consideration liability.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Liquidity and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sources of capital include cash flows from operations, available credit facilities and the issuance of debt and equity securities. As of December 31, 2022, the Company had</w:t>
      </w:r>
    </w:p>
    <w:p>
      <w:pPr>
        <w:spacing w:after="0" w:line="2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$197.6 million in cash and cash equivalents. The Company has obtained its long-term debt from public markets, private placements and bank facilities. Management believes the Company has sufficient sources of capital available to finance its business plan, meet its working capital requirements and maintain an appropriate level of capital spending for at least the next 12 months from the issuance of the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Company’s long-term debt as of December 31, 2022 and December 31, 2021 was as follows: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93"/>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20" w:type="dxa"/>
            <w:vAlign w:val="bottom"/>
          </w:tcPr>
          <w:p>
            <w:pPr>
              <w:spacing w:after="0"/>
              <w:rPr>
                <w:sz w:val="24"/>
                <w:szCs w:val="24"/>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24"/>
                <w:szCs w:val="24"/>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53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Senior notes</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color w:val="auto"/>
                <w:w w:val="98"/>
              </w:rPr>
              <w:t>2/27/2023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r>
      <w:tr>
        <w:trPr>
          <w:trHeight w:val="180"/>
        </w:trPr>
        <w:tc>
          <w:tcPr>
            <w:tcW w:w="57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4"/>
                <w:szCs w:val="14"/>
                <w:color w:val="auto"/>
              </w:rPr>
              <w:t>Senior bonds and unamortized discount on senior bonds</w:t>
            </w:r>
            <w:r>
              <w:rPr>
                <w:rFonts w:ascii="Times New Roman" w:cs="Times New Roman" w:eastAsia="Times New Roman" w:hAnsi="Times New Roman"/>
                <w:sz w:val="18"/>
                <w:szCs w:val="18"/>
                <w:color w:val="auto"/>
                <w:vertAlign w:val="superscript"/>
              </w:rPr>
              <w:t>(2)</w:t>
            </w:r>
          </w:p>
        </w:tc>
        <w:tc>
          <w:tcPr>
            <w:tcW w:w="160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11/25/2025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349,966</w:t>
            </w:r>
          </w:p>
        </w:tc>
      </w:tr>
      <w:tr>
        <w:trPr>
          <w:trHeight w:val="180"/>
        </w:trPr>
        <w:tc>
          <w:tcPr>
            <w:tcW w:w="574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Revolving Credit Facility</w:t>
            </w:r>
            <w:r>
              <w:rPr>
                <w:rFonts w:ascii="Times New Roman" w:cs="Times New Roman" w:eastAsia="Times New Roman" w:hAnsi="Times New Roman"/>
                <w:sz w:val="18"/>
                <w:szCs w:val="18"/>
                <w:color w:val="auto"/>
                <w:vertAlign w:val="superscript"/>
              </w:rPr>
              <w:t>(3)</w:t>
            </w:r>
          </w:p>
        </w:tc>
        <w:tc>
          <w:tcPr>
            <w:tcW w:w="1600" w:type="dxa"/>
            <w:vAlign w:val="bottom"/>
            <w:shd w:val="clear" w:color="auto" w:fill="CCEEFF"/>
          </w:tcPr>
          <w:p>
            <w:pPr>
              <w:jc w:val="center"/>
              <w:ind w:right="229"/>
              <w:spacing w:after="0"/>
              <w:rPr>
                <w:sz w:val="20"/>
                <w:szCs w:val="20"/>
                <w:color w:val="auto"/>
              </w:rPr>
            </w:pPr>
            <w:r>
              <w:rPr>
                <w:rFonts w:ascii="Times New Roman" w:cs="Times New Roman" w:eastAsia="Times New Roman" w:hAnsi="Times New Roman"/>
                <w:sz w:val="14"/>
                <w:szCs w:val="14"/>
                <w:color w:val="auto"/>
              </w:rPr>
              <w:t>7/9/2026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60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10/10/2026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80"/>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600" w:type="dxa"/>
            <w:vAlign w:val="bottom"/>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color w:val="auto"/>
                <w:w w:val="98"/>
              </w:rPr>
              <w:t>3/21/2030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180"/>
        </w:trPr>
        <w:tc>
          <w:tcPr>
            <w:tcW w:w="57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1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w:t>
            </w:r>
          </w:p>
        </w:tc>
      </w:tr>
      <w:tr>
        <w:trPr>
          <w:trHeight w:val="196"/>
        </w:trPr>
        <w:tc>
          <w:tcPr>
            <w:tcW w:w="5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long-term debt</w:t>
            </w: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598,817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723,443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right="40" w:hanging="255"/>
        <w:spacing w:after="0" w:line="217" w:lineRule="auto"/>
        <w:tabs>
          <w:tab w:leader="none" w:pos="25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On September 13, 2022, the Company used cash on hand to repay the $125 million of senior notes with a stated maturity date of February 27, 2023. There was no penalty for the early repayment of the senior notes.</w:t>
      </w:r>
    </w:p>
    <w:p>
      <w:pPr>
        <w:ind w:left="240" w:hanging="235"/>
        <w:spacing w:after="0" w:line="196" w:lineRule="auto"/>
        <w:tabs>
          <w:tab w:leader="none" w:pos="24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senior bonds due in 2025 were issued at 99.975% of par.</w:t>
      </w:r>
    </w:p>
    <w:p>
      <w:pPr>
        <w:spacing w:after="0" w:line="2" w:lineRule="exact"/>
        <w:rPr>
          <w:rFonts w:ascii="Times New Roman" w:cs="Times New Roman" w:eastAsia="Times New Roman" w:hAnsi="Times New Roman"/>
          <w:sz w:val="18"/>
          <w:szCs w:val="18"/>
          <w:color w:val="auto"/>
          <w:vertAlign w:val="superscript"/>
        </w:rPr>
      </w:pPr>
    </w:p>
    <w:p>
      <w:pPr>
        <w:ind w:left="260" w:right="200" w:hanging="255"/>
        <w:spacing w:after="0" w:line="220" w:lineRule="auto"/>
        <w:tabs>
          <w:tab w:leader="none" w:pos="25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revolving credit facility has an aggregate maximum borrowing capacity of $500 million. The Company currently believes all banks participating in the revolving credit facility have the ability to and will meet any funding requests from the Company.</w:t>
      </w:r>
    </w:p>
    <w:p>
      <w:pPr>
        <w:spacing w:after="0" w:line="17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indenture under which the Company’s senior bonds were issued does not include financial covenants but does limit the incurrence of certain liens and encumbrances as well as indebtedness by the Company’s subsidiaries in excess of certain amounts. The agreements under which the Company’s nonpublic debt was issued include two financial covenants: a consolidated cash flow/fixed charges ratio and a consolidated funded indebtedness/cash flow ratio, each as defined in the respective agreement. The Company was in compliance with these covenants as of December 31, 2022. These covenants have not restricted, and are not expected to restrict, the Company’s liquidity or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outstanding long-term debt has been issued by the Company and none has been issued by any of its subsidiaries. There are no guarantees of the Company’s long-term debt.</w:t>
      </w:r>
    </w:p>
    <w:p>
      <w:pPr>
        <w:spacing w:after="0" w:line="200"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Company’s credit ratings are reviewed periodically by certain nationally recognized rating agencies. Changes in the Company’s operating results or financial position can result in changes in the Company’s credit ratings. During 2022, Standard &amp; Poor’s upgraded the Company’s credit rating from BBB with a positive outlook to BBB+ with a stable outlook. Lower credit ratings could result in higher borrowing costs for the Company or reduced access to capital markets, which could have a material adverse impact on the Company’s operating results or financial position.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2022, the Company’s credit ratings and outlook for its long-term debt were as follows: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93"/>
        </w:trPr>
        <w:tc>
          <w:tcPr>
            <w:tcW w:w="7440" w:type="dxa"/>
            <w:vAlign w:val="bottom"/>
          </w:tcPr>
          <w:p>
            <w:pPr>
              <w:spacing w:after="0"/>
              <w:rPr>
                <w:sz w:val="24"/>
                <w:szCs w:val="24"/>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Credit Rating</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Outlook</w:t>
            </w:r>
          </w:p>
        </w:tc>
      </w:tr>
      <w:tr>
        <w:trPr>
          <w:trHeight w:val="171"/>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Moody’s</w:t>
            </w: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Baa1</w:t>
            </w:r>
          </w:p>
        </w:tc>
        <w:tc>
          <w:tcPr>
            <w:tcW w:w="10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Stable</w:t>
            </w:r>
          </w:p>
        </w:tc>
      </w:tr>
      <w:tr>
        <w:trPr>
          <w:trHeight w:val="184"/>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Standard &amp; Poor’s</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BBB+</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Stable</w:t>
            </w:r>
          </w:p>
        </w:tc>
      </w:tr>
    </w:tbl>
    <w:p>
      <w:pPr>
        <w:spacing w:after="0" w:line="236"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4"/>
          <w:szCs w:val="14"/>
          <w:color w:val="auto"/>
        </w:rPr>
        <w:t>The Company’s Board of Directors has declared, and the Company has paid, dividends on the Common Stock and the Class B Common Stock and each class of common stock has participated equally in all dividends each quarter for more than 25 years. The amount and frequency of future dividends will be determined by the Company’s Board of Directors in light of the earnings and financial condition of the Company at such time, and no assurance can be given that dividends will be declared or paid in the future.</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On December 7, 2022, the Company announced that its Board of Directors had declared an increase in the regular quarterly cash dividend from $0.25 per share to $0.50 per share on the Common Stock and the Class B Common Stock of the Company, which represented an increase of 100%, beginning with the dividend payment on February 10, 2023 to stockholders of record as of the close of business on January 27, 2023. The Company’s Board of Directors also declared a special cash dividend of $3.00 per share on the Common Stock and the Class B Common Stock of the Company, also payable on February 10, 2023 to stockholders of record as of the close of business on January 27, 2023. The total dividends paid on February 10, 2023 were $32.8 million.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0" w:name="page31"/>
    <w:bookmarkEnd w:id="30"/>
    <w:p>
      <w:pPr>
        <w:ind w:right="580"/>
        <w:spacing w:after="0" w:line="287" w:lineRule="auto"/>
        <w:rPr>
          <w:sz w:val="20"/>
          <w:szCs w:val="20"/>
          <w:color w:val="auto"/>
        </w:rPr>
      </w:pPr>
      <w:r>
        <w:rPr>
          <w:rFonts w:ascii="Times New Roman" w:cs="Times New Roman" w:eastAsia="Times New Roman" w:hAnsi="Times New Roman"/>
          <w:sz w:val="14"/>
          <w:szCs w:val="14"/>
          <w:color w:val="auto"/>
        </w:rPr>
        <w:t>The Company’s only Level 3 asset or liability is the acquisition related contingent consideration liability. There were no transfers from Level 1 or Level 2 in any period presented. Fair value adjustments were non-cash and, therefore, did not impact the Company’s liquidity or capital resources. Following is a summary of the Level 3 activity: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Pr>
          <w:p>
            <w:pPr>
              <w:spacing w:after="0"/>
              <w:rPr>
                <w:sz w:val="14"/>
                <w:szCs w:val="14"/>
                <w:color w:val="auto"/>
              </w:rPr>
            </w:pPr>
          </w:p>
        </w:tc>
        <w:tc>
          <w:tcPr>
            <w:tcW w:w="142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7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 - Level 3 liability</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542,105</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434,694</w:t>
            </w:r>
          </w:p>
        </w:tc>
        <w:tc>
          <w:tcPr>
            <w:tcW w:w="0" w:type="dxa"/>
            <w:vAlign w:val="bottom"/>
          </w:tcPr>
          <w:p>
            <w:pPr>
              <w:spacing w:after="0"/>
              <w:rPr>
                <w:sz w:val="1"/>
                <w:szCs w:val="1"/>
                <w:color w:val="auto"/>
              </w:rPr>
            </w:pPr>
          </w:p>
        </w:tc>
      </w:tr>
      <w:tr>
        <w:trPr>
          <w:trHeight w:val="18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Payments of acquisition related contingent consideration</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(39,097)</w:t>
            </w:r>
          </w:p>
        </w:tc>
        <w:tc>
          <w:tcPr>
            <w:tcW w:w="0" w:type="dxa"/>
            <w:vAlign w:val="bottom"/>
          </w:tcPr>
          <w:p>
            <w:pPr>
              <w:spacing w:after="0"/>
              <w:rPr>
                <w:sz w:val="1"/>
                <w:szCs w:val="1"/>
                <w:color w:val="auto"/>
              </w:rPr>
            </w:pP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to current payables</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0"/>
        </w:trPr>
        <w:tc>
          <w:tcPr>
            <w:tcW w:w="7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Increase in fair value</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146,308</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 Level 3 liability</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541,491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542,105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Sources and Uses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4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summary of cash-based activity is as follows:</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3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Pr>
          <w:p>
            <w:pPr>
              <w:spacing w:after="0"/>
              <w:rPr>
                <w:sz w:val="14"/>
                <w:szCs w:val="14"/>
                <w:color w:val="auto"/>
              </w:rPr>
            </w:pPr>
          </w:p>
        </w:tc>
        <w:tc>
          <w:tcPr>
            <w:tcW w:w="142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7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Sources:</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4"/>
                <w:szCs w:val="14"/>
                <w:color w:val="auto"/>
              </w:rPr>
              <w:t>Net cash provided by operating activities</w:t>
            </w:r>
            <w:r>
              <w:rPr>
                <w:rFonts w:ascii="Times New Roman" w:cs="Times New Roman" w:eastAsia="Times New Roman" w:hAnsi="Times New Roman"/>
                <w:sz w:val="18"/>
                <w:szCs w:val="18"/>
                <w:color w:val="auto"/>
                <w:vertAlign w:val="superscript"/>
              </w:rPr>
              <w:t>(1)</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554,506</w:t>
            </w:r>
          </w:p>
        </w:tc>
        <w:tc>
          <w:tcPr>
            <w:tcW w:w="100" w:type="dxa"/>
            <w:vAlign w:val="bottom"/>
          </w:tcPr>
          <w:p>
            <w:pPr>
              <w:spacing w:after="0"/>
              <w:rPr>
                <w:sz w:val="15"/>
                <w:szCs w:val="15"/>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521,755</w:t>
            </w:r>
          </w:p>
        </w:tc>
        <w:tc>
          <w:tcPr>
            <w:tcW w:w="0" w:type="dxa"/>
            <w:vAlign w:val="bottom"/>
          </w:tcPr>
          <w:p>
            <w:pPr>
              <w:spacing w:after="0"/>
              <w:rPr>
                <w:sz w:val="1"/>
                <w:szCs w:val="1"/>
                <w:color w:val="auto"/>
              </w:rPr>
            </w:pP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w:t>
            </w:r>
          </w:p>
        </w:tc>
        <w:tc>
          <w:tcPr>
            <w:tcW w:w="0" w:type="dxa"/>
            <w:vAlign w:val="bottom"/>
          </w:tcPr>
          <w:p>
            <w:pPr>
              <w:spacing w:after="0"/>
              <w:rPr>
                <w:sz w:val="1"/>
                <w:szCs w:val="1"/>
                <w:color w:val="auto"/>
              </w:rPr>
            </w:pPr>
          </w:p>
        </w:tc>
      </w:tr>
      <w:tr>
        <w:trPr>
          <w:trHeight w:val="18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Borrowings under term loan facility</w:t>
            </w:r>
          </w:p>
        </w:tc>
        <w:tc>
          <w:tcPr>
            <w:tcW w:w="44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0" w:type="dxa"/>
            <w:vAlign w:val="bottom"/>
          </w:tcPr>
          <w:p>
            <w:pPr>
              <w:spacing w:after="0"/>
              <w:rPr>
                <w:sz w:val="1"/>
                <w:szCs w:val="1"/>
                <w:color w:val="auto"/>
              </w:rPr>
            </w:pP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under revolving credit facility</w:t>
            </w:r>
          </w:p>
        </w:tc>
        <w:tc>
          <w:tcPr>
            <w:tcW w:w="4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0" w:type="dxa"/>
            <w:vAlign w:val="bottom"/>
          </w:tcPr>
          <w:p>
            <w:pPr>
              <w:spacing w:after="0"/>
              <w:rPr>
                <w:sz w:val="1"/>
                <w:szCs w:val="1"/>
                <w:color w:val="auto"/>
              </w:rPr>
            </w:pPr>
          </w:p>
        </w:tc>
      </w:tr>
      <w:tr>
        <w:trPr>
          <w:trHeight w:val="171"/>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sources</w:t>
            </w: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561,875</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652,029</w:t>
            </w:r>
          </w:p>
        </w:tc>
        <w:tc>
          <w:tcPr>
            <w:tcW w:w="0" w:type="dxa"/>
            <w:vAlign w:val="bottom"/>
          </w:tcPr>
          <w:p>
            <w:pPr>
              <w:spacing w:after="0"/>
              <w:rPr>
                <w:sz w:val="1"/>
                <w:szCs w:val="1"/>
                <w:color w:val="auto"/>
              </w:rPr>
            </w:pPr>
          </w:p>
        </w:tc>
      </w:tr>
      <w:tr>
        <w:trPr>
          <w:trHeight w:val="20"/>
        </w:trPr>
        <w:tc>
          <w:tcPr>
            <w:tcW w:w="138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380" w:type="dxa"/>
            <w:vAlign w:val="bottom"/>
            <w:shd w:val="clear" w:color="auto" w:fill="CCEEFF"/>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Uses:</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298,611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155,693</w:t>
            </w:r>
          </w:p>
        </w:tc>
        <w:tc>
          <w:tcPr>
            <w:tcW w:w="0" w:type="dxa"/>
            <w:vAlign w:val="bottom"/>
          </w:tcPr>
          <w:p>
            <w:pPr>
              <w:spacing w:after="0"/>
              <w:rPr>
                <w:sz w:val="1"/>
                <w:szCs w:val="1"/>
                <w:color w:val="auto"/>
              </w:rPr>
            </w:pPr>
          </w:p>
        </w:tc>
      </w:tr>
      <w:tr>
        <w:trPr>
          <w:trHeight w:val="18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Payments on term loan facility and senior notes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287,500</w:t>
            </w:r>
          </w:p>
        </w:tc>
        <w:tc>
          <w:tcPr>
            <w:tcW w:w="0" w:type="dxa"/>
            <w:vAlign w:val="bottom"/>
          </w:tcPr>
          <w:p>
            <w:pPr>
              <w:spacing w:after="0"/>
              <w:rPr>
                <w:sz w:val="1"/>
                <w:szCs w:val="1"/>
                <w:color w:val="auto"/>
              </w:rPr>
            </w:pP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acquisition related contingent consideration</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39,097</w:t>
            </w:r>
          </w:p>
        </w:tc>
        <w:tc>
          <w:tcPr>
            <w:tcW w:w="0" w:type="dxa"/>
            <w:vAlign w:val="bottom"/>
          </w:tcPr>
          <w:p>
            <w:pPr>
              <w:spacing w:after="0"/>
              <w:rPr>
                <w:sz w:val="1"/>
                <w:szCs w:val="1"/>
                <w:color w:val="auto"/>
              </w:rPr>
            </w:pPr>
          </w:p>
        </w:tc>
      </w:tr>
      <w:tr>
        <w:trPr>
          <w:trHeight w:val="18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Acquisition of distribution rights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0" w:type="dxa"/>
            <w:vAlign w:val="bottom"/>
          </w:tcPr>
          <w:p>
            <w:pPr>
              <w:spacing w:after="0"/>
              <w:rPr>
                <w:sz w:val="1"/>
                <w:szCs w:val="1"/>
                <w:color w:val="auto"/>
              </w:rPr>
            </w:pP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paid</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9,374</w:t>
            </w:r>
          </w:p>
        </w:tc>
        <w:tc>
          <w:tcPr>
            <w:tcW w:w="0" w:type="dxa"/>
            <w:vAlign w:val="bottom"/>
          </w:tcPr>
          <w:p>
            <w:pPr>
              <w:spacing w:after="0"/>
              <w:rPr>
                <w:sz w:val="1"/>
                <w:szCs w:val="1"/>
                <w:color w:val="auto"/>
              </w:rPr>
            </w:pPr>
          </w:p>
        </w:tc>
      </w:tr>
      <w:tr>
        <w:trPr>
          <w:trHeight w:val="18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Payments on financing lease obligations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0" w:type="dxa"/>
            <w:vAlign w:val="bottom"/>
          </w:tcPr>
          <w:p>
            <w:pPr>
              <w:spacing w:after="0"/>
              <w:rPr>
                <w:sz w:val="1"/>
                <w:szCs w:val="1"/>
                <w:color w:val="auto"/>
              </w:rPr>
            </w:pP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4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0" w:type="dxa"/>
            <w:vAlign w:val="bottom"/>
          </w:tcPr>
          <w:p>
            <w:pPr>
              <w:spacing w:after="0"/>
              <w:rPr>
                <w:sz w:val="1"/>
                <w:szCs w:val="1"/>
                <w:color w:val="auto"/>
              </w:rPr>
            </w:pPr>
          </w:p>
        </w:tc>
      </w:tr>
      <w:tr>
        <w:trPr>
          <w:trHeight w:val="180"/>
        </w:trPr>
        <w:tc>
          <w:tcPr>
            <w:tcW w:w="7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0" w:type="dxa"/>
            <w:vAlign w:val="bottom"/>
          </w:tcPr>
          <w:p>
            <w:pPr>
              <w:spacing w:after="0"/>
              <w:rPr>
                <w:sz w:val="1"/>
                <w:szCs w:val="1"/>
                <w:color w:val="auto"/>
              </w:rPr>
            </w:pPr>
          </w:p>
        </w:tc>
      </w:tr>
      <w:tr>
        <w:trPr>
          <w:trHeight w:val="171"/>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uses</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506,541</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564,508</w:t>
            </w:r>
          </w:p>
        </w:tc>
        <w:tc>
          <w:tcPr>
            <w:tcW w:w="0" w:type="dxa"/>
            <w:vAlign w:val="bottom"/>
          </w:tcPr>
          <w:p>
            <w:pPr>
              <w:spacing w:after="0"/>
              <w:rPr>
                <w:sz w:val="1"/>
                <w:szCs w:val="1"/>
                <w:color w:val="auto"/>
              </w:rPr>
            </w:pPr>
          </w:p>
        </w:tc>
      </w:tr>
      <w:tr>
        <w:trPr>
          <w:trHeight w:val="171"/>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55,334</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87,521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60" w:right="40" w:hanging="255"/>
        <w:spacing w:after="0" w:line="237" w:lineRule="auto"/>
        <w:tabs>
          <w:tab w:leader="none" w:pos="25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cash provided by operating activities in 2022 included net income tax payments of $141.0 million, payment of deferred payroll taxes under the CARES Act of $18.7 million and pension plan contributions of $26.0 million. Net cash provided by operating activities in 2021 included net income tax payments of $71.0 million, payment of deferred payroll taxes under the CARES Act of $18.7 million and pension plan contributions of $6.8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During 2022, cash provided by operating activities was $554.5 million, which was an increase of $32.8 million, as compared to 2021. The cash flows from operations were primarily the result of our strong operating performance, which the Company expects to sustain during the next 12 months. Cash flows from operations were also impacted by the timing of certain working capital payments and receipts. As a result of the Company’s strong cash flows from operations, the Company was able to invest in property, plant and equipment and to reduce our debt obligations, as further discussed in the following sections.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p>
      <w:pPr>
        <w:spacing w:after="0" w:line="20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During 2022, cash used in investing activities was $325.0 million, which was an increase of $163.0 million, as compared to 2021. The increase was primarily a result of additions to property, plant and equipment, which were $298.6 million during 2022 and $155.7 million during 2021. CCBCC Operations, LLC, a wholly owned subsidiary of the Company, purchased the Snyder Production Center and an adjacent sales facility in Charlotte, North Carolina on March 17, 2022 for a purchase price of $60.0 million, which was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1" w:name="page32"/>
    <w:bookmarkEnd w:id="31"/>
    <w:p>
      <w:pPr>
        <w:ind w:right="780"/>
        <w:spacing w:after="0" w:line="287" w:lineRule="auto"/>
        <w:rPr>
          <w:sz w:val="20"/>
          <w:szCs w:val="20"/>
          <w:color w:val="auto"/>
        </w:rPr>
      </w:pPr>
      <w:r>
        <w:rPr>
          <w:rFonts w:ascii="Times New Roman" w:cs="Times New Roman" w:eastAsia="Times New Roman" w:hAnsi="Times New Roman"/>
          <w:sz w:val="14"/>
          <w:szCs w:val="14"/>
          <w:color w:val="auto"/>
        </w:rPr>
        <w:t>included in additions to property, plant and equipment. There were $44.8 million and $35.8 million of additions to property, plant and equipment accrued in accounts payable, trade as of December 31, 2022 and December 31, 2021, respectively.</w:t>
      </w:r>
    </w:p>
    <w:p>
      <w:pPr>
        <w:spacing w:after="0" w:line="14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increase in property, plant and equipment reflects the Company’s focus on optimizing our supply chain and investing for future growth. The Company anticipates additions to property, plant and equipment in 2023 to be in the range of $250 million to $300 million.</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increase in cash used in investing activities as compared to 2021 was also driven by the acquisition of additional distribution rights. On January 1, 2022, the Company acquired $30.1 million of additional BODYARMOR distribution rights.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During 2022, cash used in financing activities was $174.2 million, which was a decrease of $98.1 million, as compared to 2021. The decrease was primarily a result of higher net repayments of debt during 2021 as compared to 2022. The Company continues to prioritize the reduction of debt obligations and the strengthening of our balance sheet, as indicated by the early repayment of $125 million of senior notes during 2022.</w:t>
      </w:r>
    </w:p>
    <w:p>
      <w:pPr>
        <w:spacing w:after="0" w:line="15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had cash payments for acquisition related contingent consideration of $36.5 million during 2022 and $39.1 million during 2021. The Company anticipates that the amount it could pay annually under the acquisition related contingent consideration arrangements for the distribution territories subject to acquisition related sub-bottling payments will be in the range of $42 million to $74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Material Contractual Obligations</w:t>
      </w:r>
    </w:p>
    <w:p>
      <w:pPr>
        <w:spacing w:after="0" w:line="202"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The Company had a number of contractual obligations and commercial obligations as of December 31, 2022 that are material to an assessment of the Company’s short- and long-term cash requirements.</w:t>
      </w:r>
    </w:p>
    <w:p>
      <w:pPr>
        <w:spacing w:after="0" w:line="14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Company has outstanding long-term debt of $600.0 million, none of which is contractually due in 2023. The remaining interest payments on the Company’s debt obligations are $96.6 million determined in reference to the contractual terms of such debt, of which $23.2 million is due in 2023. All of the Company’s long-term debt instruments have fixed interest rates, and thus are not impacted by fluctuations in interest rates, with the exception of the Company’s revolving credit facility, which did not have any outstanding borrowings as of December 31,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acquisition related contingent consideration liability relates to acquisition related sub-bottling payments required in certain distribution territories under the CBA and totaled</w:t>
      </w:r>
    </w:p>
    <w:p>
      <w:pPr>
        <w:spacing w:after="0" w:line="2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$541.5 million as of December 31, 2022. The future expected acquisition related sub-bottling payments extend through the life of the related distribution assets acquired in each distribution territory, which is generally 40 years. The Company expects to pay $40.1 million of the acquisition related contingent consideration liability in 2023, which is classified as other accrued liabilities in the consolidated balance sheets.</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is obligated to purchase 17.5 million cases of finished product from SAC on an annual basis through June 2024. Based on information available as of December 31, 2022, the Company estimates this purchase obligation to be $214.5 million, of which an estimated $143.0 million of purchases is expected to occur in 2023.</w:t>
      </w:r>
    </w:p>
    <w:p>
      <w:pPr>
        <w:spacing w:after="0" w:line="1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has $168.6 million in total minimum operating lease obligations including interest, of which $31.7 million are due in 2023. The Company has $11.0 million in total minimum financing lease obligations including interest, of which $2.8 million are due in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2022, the Company estimated obligations for its executive benefit plans to be $167.7 million, of which $30.0 million is expected to be paid in 2023.</w:t>
      </w:r>
    </w:p>
    <w:p>
      <w:pPr>
        <w:spacing w:after="0" w:line="20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is a shareholder of Southeastern Container (“Southeastern”), a plastic bottle manufacturing cooperative from which the Company is obligated to purchase at least 80% of its requirements of plastic bottles for certain designated territories. This obligation has no minimum purchase requirements; however, purchases from Southeastern were $154.0 million during 2022 and are expected to remain material in future foreseeable periods. See Note 19 to the consolidated financial statements for additional information related to Southeastern.</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participates in long-term marketing contractual arrangements with certain prestige properties, athletic venues and other locations. As of December 31, 2022, the future payments related to these contractual arrangements, which expire at various dates through 2033, amounted to $128.8 million, of which $28.1 million is expected to be paid in 2023.</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32" w:name="page33"/>
    <w:bookmarkEnd w:id="32"/>
    <w:p>
      <w:pPr>
        <w:ind w:right="280"/>
        <w:spacing w:after="0" w:line="270" w:lineRule="auto"/>
        <w:rPr>
          <w:sz w:val="20"/>
          <w:szCs w:val="20"/>
          <w:color w:val="auto"/>
        </w:rPr>
      </w:pPr>
      <w:r>
        <w:rPr>
          <w:rFonts w:ascii="Times New Roman" w:cs="Times New Roman" w:eastAsia="Times New Roman" w:hAnsi="Times New Roman"/>
          <w:sz w:val="14"/>
          <w:szCs w:val="14"/>
          <w:color w:val="auto"/>
        </w:rPr>
        <w:t>On December 7, 2022, the Board of Directors of the Company declared a regular quarterly cash dividend of $0.50 per share, as well as a special cash dividend of $3.00 per share, on the Common Stock and the Class B Common Stock of the Company. Both dividends are payable on February 10, 2023 to stockholders of record as of the close of business on January 27, 2023. As of December 31, 2022, dividends declared but not yet paid were $32.8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Hedging Activities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uses commodity derivative instruments to manage its exposure to fluctuations in certain commodity prices. Fees paid by the Company for commodity derivative instruments are amortized over the corresponding period of the instrument. The Company accounts for its commodity derivative instruments on a mark-to-market basis with any expense or income being reflected as an adjustment to cost of sales or SD&amp;A expenses, consistent with the expense classification of the underlying hedged item.</w:t>
      </w:r>
    </w:p>
    <w:p>
      <w:pPr>
        <w:spacing w:after="0" w:line="157"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4"/>
          <w:szCs w:val="14"/>
          <w:color w:val="auto"/>
        </w:rPr>
        <w:t>The Company uses several different financial institutions for commodity derivative instruments to minimize the concentration of credit risk. The Company has master agreements with the counterparties to its commodity derivative instruments that provide for net settlement of derivative transactions. The net impact of the commodity derivative instruments on the consolidated statements of operations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40" w:type="dxa"/>
            <w:vAlign w:val="bottom"/>
            <w:tcBorders>
              <w:bottom w:val="single" w:sz="8" w:color="auto"/>
            </w:tcBorders>
          </w:tcPr>
          <w:p>
            <w:pPr>
              <w:spacing w:after="0"/>
              <w:rPr>
                <w:sz w:val="16"/>
                <w:szCs w:val="16"/>
                <w:color w:val="auto"/>
              </w:rPr>
            </w:pP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Pr>
          <w:p>
            <w:pPr>
              <w:spacing w:after="0"/>
              <w:rPr>
                <w:sz w:val="14"/>
                <w:szCs w:val="14"/>
                <w:color w:val="auto"/>
              </w:rPr>
            </w:pPr>
          </w:p>
        </w:tc>
        <w:tc>
          <w:tcPr>
            <w:tcW w:w="142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cost of sales</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(12,647)</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Decrease in SD&amp;A expenses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impact</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(13,055)</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(16,830)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COVID-19 Impact</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continues to diligently monitor and manage through the impact of the ongoing COVID-19 pandemic on all aspects of its business, including the impact on its teammates, communities and customers.</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continues to implement its COVID-19 Response Program as dictated by current conditions, including numerous actions to protect and promote the health and safety of its consumers, customers, suppliers, teammates and communities. Such actions include following prescribed Company and other accepted health and safety standards and protocols, including those adopted by the Centers for Disease Control and Prevention (the “CDC”) and local health authorities. Risk mitigation and safety activities continue; examples include adhering to sanitation protocols and promoting hygiene practices recommended by the CDC; offering supplemental sick time for non-exempt teammates; providing access to personal protective equipment and educational resources; and modifying our health and welfare plans for COVID-19-related events.</w:t>
      </w:r>
    </w:p>
    <w:p>
      <w:pPr>
        <w:spacing w:after="0" w:line="16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At this time and based on current trends, we do not expect the COVID-19 pandemic to materially impact our liquidity position or access to capital in 2023. We also have not experienced, and do not expect, any material impairments or adjustments to the fair values of our assets or the collectability of our receivables as a result of the COVID-19 pandemic.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Discussion of Critical Accounting Estimates</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the Company has made a number of estimates and assumptions relating to the reporting of its results of operations and financial position in the preparation of its consolidated financial statements in conformity with GAAP. Actual results could differ significantly from those estimates under different assumptions and conditions. The Company believes the following discussion addresses the Company’s most critical accounting estimates, which are those the Company believes to be the most important to the portrayal of its financial condition and results of operations and require management’s most difficult, subjective and complex judgments, often as a result of the need to make estimates about the effect of matters that are inherently uncertain.</w:t>
      </w:r>
    </w:p>
    <w:p>
      <w:pPr>
        <w:spacing w:after="0" w:line="16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Any changes in critical accounting estimates are discussed with the Audit Committee of the Company’s Board of Directors during the quarter in which a change is contemplated and prior to making such change.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202" w:lineRule="exact"/>
        <w:rPr>
          <w:sz w:val="20"/>
          <w:szCs w:val="20"/>
          <w:color w:val="auto"/>
        </w:rPr>
      </w:pPr>
    </w:p>
    <w:p>
      <w:pPr>
        <w:ind w:right="300"/>
        <w:spacing w:after="0" w:line="174" w:lineRule="exact"/>
        <w:rPr>
          <w:sz w:val="20"/>
          <w:szCs w:val="20"/>
          <w:color w:val="auto"/>
        </w:rPr>
      </w:pPr>
      <w:r>
        <w:rPr>
          <w:rFonts w:ascii="Times New Roman" w:cs="Times New Roman" w:eastAsia="Times New Roman" w:hAnsi="Times New Roman"/>
          <w:sz w:val="14"/>
          <w:szCs w:val="14"/>
          <w:color w:val="auto"/>
        </w:rPr>
        <w:t>The Company’s sales are divided into two main categories: (i) bottle/can sales and (ii) other sales. Bottle/can sales include products packaged primarily in plastic bottles and aluminum cans. Bottle/can net pricing is based on the invoice price charged to customers reduced by any promotional allowances. Bottle/can net pricing per unit is impacted by the price charged per package, the sales volume generated for each package and the channels in which those packages are sold. Other sales include sales to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post-mix sales, transportation revenue and equipment maintenance revenue.</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3" w:name="page34"/>
    <w:bookmarkEnd w:id="33"/>
    <w:p>
      <w:pPr>
        <w:jc w:val="both"/>
        <w:ind w:right="120"/>
        <w:spacing w:after="0" w:line="174" w:lineRule="exact"/>
        <w:rPr>
          <w:sz w:val="20"/>
          <w:szCs w:val="20"/>
          <w:color w:val="auto"/>
        </w:rPr>
      </w:pPr>
      <w:r>
        <w:rPr>
          <w:rFonts w:ascii="Times New Roman" w:cs="Times New Roman" w:eastAsia="Times New Roman" w:hAnsi="Times New Roman"/>
          <w:sz w:val="14"/>
          <w:szCs w:val="14"/>
          <w:color w:val="auto"/>
        </w:rPr>
        <w:t>The Company’s contracts are derived from customer orders, including customer sales incentives, generated through an order processing and replenishment model. Generally, the Company’s service contracts and contracts related to the delivery of specifically identifiable products have a single performance obligation. Revenues do not include sales or other taxes collected from customers. The Company has defined its performance obligations for its contracts as either at a point in time or over time. Bottle/can sales, sales to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and post-mix sales are recognized when control transfers to a customer, which is generally upon delivery and is considered a single point in time (“point in time”).</w:t>
      </w:r>
    </w:p>
    <w:p>
      <w:pPr>
        <w:spacing w:after="0" w:line="17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Other sales, which include revenue for service fees related to the repair of cold drink equipment and delivery fees for freight hauling and brokerage services, are recognized over time (“over time”). Revenues related to cold drink equipment repair are recognized as the respective services are completed using a cost-to-cost input method. Repair services are generally completed in less than one day but can extend up to one month. Revenues related to freight hauling and brokerage services are recognized as the delivery occurs using a miles driven output method. Generally, delivery occurs and freight charges are recognized in the same day. Over time sales orders open at the end of a financial period are not material to the consolidated financial statements.</w:t>
      </w:r>
    </w:p>
    <w:p>
      <w:pPr>
        <w:spacing w:after="0" w:line="16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sells its products and extends credit, generally without requiring collateral, based on an ongoing evaluation of the customer’s business prospects and financial condition. The Company evaluates the collectability of its trade accounts receivable based on a number of factors, including the Company’s historic collections pattern and changes to a specific customer’s ability to meet its financial obligations. The Company typically collects payment from customers within 30 days from the date of sale.</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has established an allowance for doubtful accounts to adjust the recorded receivable to the estimated amount the Company believes will ultimately be collected. The Company’s allowance for doubtful accounts in the consolidated balance sheets includes a reserve for customer returns and an allowance for credit losses. The Company experiences customer returns primarily as a result of damaged or out-of-date product. At any given time, the Company estimates less than 1% of bottle/can sales and post-mix sales could be at risk for return by customers. Returned product is recognized as a reduction to net sales.</w:t>
      </w:r>
    </w:p>
    <w:p>
      <w:pPr>
        <w:spacing w:after="0" w:line="162"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4"/>
          <w:szCs w:val="14"/>
          <w:color w:val="auto"/>
        </w:rPr>
        <w:t>The Company estimates an allowance for credit losses, based on historic days’ sales outstanding trends, aged customer balances, previously written-off balances and expected recoveries up to balances previously written off, in order to present the net amount expected to be collected. Accounts receivable balances are written off when determined uncollectible and are recognized as a reduction to the allowance for credit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of Long-Lived Assets, Goodwill and Other Intangibles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Management performs recoverability and impairment tests of long-lived assets, goodwill and other intangibles in accordance with GAAP, during which management makes numerous assumptions which involve a significant amount of judgment. When performing impairment tests, management estimates the fair values of the assets using its best assumptions, which management believes would be consistent with what a hypothetical marketplace participant would use. Estimates and assumptions used in these tests are evaluated and updated as appropriate. For certain assets, recoverability and/or impairment tests are required only when conditions exist that indicate the carrying value may not be recoverable. For other assets, impairment tests are required at least annually, or more frequently if events or circumstances indicate that an asset may be impaired.</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evaluates the recoverability of the carrying amount of its property, plant and equipment and other intangibles when events or circumstances indicate the carrying amount of an asset or asset group may not be recoverable. These evaluations are performed at a level where independent cash flows may be attributed to either an asset or an asset group. If the Company determines the carrying amount of an asset or asset group is not recoverable based upon the expected undiscounted future cash flows of the asset or asset group, an impairment loss is recorded equal to the excess of the carrying amounts over the estimated fair values of the long-lived assets. During 2022 and 2021, the Company performed periodic reviews of property, plant and equipment and other intangibles and determined no material impairment existed.</w:t>
      </w:r>
    </w:p>
    <w:p>
      <w:pPr>
        <w:spacing w:after="0" w:line="16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All business combinations are accounted for using the acquisition method. All of the Company’s goodwill resides within one reporting unit within the Nonalcoholic Beverages reportable segment and, therefore, the Company has determined it has one reporting unit for the purpose of assessing goodwill for potential impairment. The Company performs its annual goodwill impairment test as of the first day of the fourth quarter each year, and more frequently if facts and circumstances indicate such assets may be impaired, including significant declines in actual or future projected cash flows and significant deterioration of market conditions.</w:t>
      </w:r>
    </w:p>
    <w:p>
      <w:pPr>
        <w:spacing w:after="0" w:line="16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uses its overall market capitalization as part of its estimate of fair value of the reporting unit and in assessing the reasonableness of the Company’s internal estimates of fair value. The Company’s goodwill impairment assessment includes a qualitative assessment to determine whether it is more likely than not that the fair value of the goodwill is below its carrying value, each year, and more often if there are significant changes in business conditions that could result in impairment. When a quantitative analysis is considered necessary for the annual impairment analysis of goodwill, the Company develops an estimated fair value for the</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5" w:right="339" w:bottom="1440" w:gutter="0" w:footer="0" w:header="0"/>
        </w:sectPr>
      </w:pPr>
    </w:p>
    <w:bookmarkStart w:id="34" w:name="page35"/>
    <w:bookmarkEnd w:id="34"/>
    <w:p>
      <w:pPr>
        <w:ind w:right="260"/>
        <w:spacing w:after="0" w:line="287" w:lineRule="auto"/>
        <w:rPr>
          <w:sz w:val="20"/>
          <w:szCs w:val="20"/>
          <w:color w:val="auto"/>
        </w:rPr>
      </w:pPr>
      <w:r>
        <w:rPr>
          <w:rFonts w:ascii="Times New Roman" w:cs="Times New Roman" w:eastAsia="Times New Roman" w:hAnsi="Times New Roman"/>
          <w:sz w:val="14"/>
          <w:szCs w:val="14"/>
          <w:color w:val="auto"/>
        </w:rPr>
        <w:t>reporting unit considering three different approaches: 1) market value, using the Company’s stock price plus outstanding debt; 2) discounted cash flow analysis; and 3) multiple of earnings before interest, taxes, depreciation and amortization based upon relevant industry data.</w:t>
      </w:r>
    </w:p>
    <w:p>
      <w:pPr>
        <w:spacing w:after="0" w:line="145"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4"/>
          <w:szCs w:val="14"/>
          <w:color w:val="auto"/>
        </w:rPr>
        <w:t>The estimated fair value of the reporting unit is then compared to its carrying amount, including goodwill. If the estimated fair value exceeds the carrying amount, goodwill is not considered impaired. If the carrying amount, including goodwill, exceeds its estimated fair value, any excess of the carrying value of goodwill of the reporting unit over its fair value is recorded as an impairment. The Company performed its annual impairment test of goodwill as of the first day of the fourth quarter during both 2022 and 2021 and determined there was no impairment of the carrying values of these assets. The Company has determined there has not been an interim impairment trigger since the first day of the fourth quarter of 2022 annual test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Related Contingent Consideration Liability</w:t>
      </w:r>
    </w:p>
    <w:p>
      <w:pPr>
        <w:spacing w:after="0" w:line="181" w:lineRule="exact"/>
        <w:rPr>
          <w:sz w:val="20"/>
          <w:szCs w:val="20"/>
          <w:color w:val="auto"/>
        </w:rPr>
      </w:pPr>
    </w:p>
    <w:p>
      <w:pPr>
        <w:spacing w:after="0" w:line="177" w:lineRule="exact"/>
        <w:rPr>
          <w:sz w:val="20"/>
          <w:szCs w:val="20"/>
          <w:color w:val="auto"/>
        </w:rPr>
      </w:pPr>
      <w:r>
        <w:rPr>
          <w:rFonts w:ascii="Times New Roman" w:cs="Times New Roman" w:eastAsia="Times New Roman" w:hAnsi="Times New Roman"/>
          <w:sz w:val="14"/>
          <w:szCs w:val="14"/>
          <w:color w:val="auto"/>
        </w:rPr>
        <w:t>The acquisition related contingent consideration liability consists of the estimated amounts due to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under the CBA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CCR over the useful life of the related distribution rights. Pursuant to the CBA, the Company is required to make quarterly acquisition related sub-bottling payments to CCR on a continuing basis in exchange for the grant of exclusive rights to distribute, promote, market and sell the authorized brands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related products in certain distribution territories the Company acquired from CCR. This acquisition related contingent consideration is valued using a probability weighted discounted cash flow model based on internal forecasts and the WACC derived from market data, which are considered Level 3 inputs.</w:t>
      </w:r>
    </w:p>
    <w:p>
      <w:pPr>
        <w:spacing w:after="0" w:line="1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Each reporting period, the Company adjusts its acquisition related contingent consideration liability related to the distribution territories subject to acquisition related sub-bottling payments to fair value by discounting future expected acquisition related sub-bottling payments required under the CBA using the Company’s estimated WACC. These future expected acquisition related sub-bottling payments extend through the life of the related distribution assets acquired in each distribution territory, which is generally 40 years. As a result, the fair value of the acquisition related contingent consideration liability is impacted by the Company’s WACC, management’s estimate of the acquisition related sub-bottling payments that will be made in the future under the CBA and current acquisition related sub-bottling payments (all Level 3 inputs). Changes in any of these Level 3 inputs, particularly the underlying risk-free interest rate used to estimate the Company’s WACC, could result in material changes to the fair value of the acquisition related contingent consideration liability and could materially impact the amount of non-cash expense (or income) recorded each reporting period. The Company estimates a 10 basis point change in the underlying risk-free interest rate used to estimate the Company’s WACC would result in a change of approximately $5 million to the Company’s acquisition related contingent consideration liability.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Estimates</w:t>
      </w:r>
    </w:p>
    <w:p>
      <w:pPr>
        <w:spacing w:after="0" w:line="20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Deferred tax assets and liabilities are recognized for the future tax consequences attributable to operating losses and tax credit carryforwards, as well as the differences between the financial statement carrying amounts of existing assets and liabilities and their respective tax bases. The effect on deferred tax assets and liabilities of a change in tax rates is recognized in income in the period that includes the enactment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valuation allowance will be provided against deferred tax assets if the Company determines it is more likely than not such assets will not ultimately be realized.</w:t>
      </w:r>
    </w:p>
    <w:p>
      <w:pPr>
        <w:spacing w:after="0" w:line="200"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The Company does not recognize a tax benefit unless it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in the Company’s judgment, is greater than 50% likely to be realized. The Company records interest and penalties related to uncertain tax positions in income tax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Pension and Postretirement Benefit Obligations</w:t>
      </w:r>
    </w:p>
    <w:p>
      <w:pPr>
        <w:spacing w:after="0" w:line="20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There are two Company-sponsored pension plans. The Primary Plan was frozen as of June 30, 2006 and no benefits accrued to participants after that date. The second Company-sponsored pension plan (the “Bargaining Plan”) is for certain employees under collective bargaining agreements. Benefits under the Bargaining Plan are determined in accordance with negotiated formulas for the respective participants. Contributions to the plans are based on actuarially determined amounts and are limited to the amounts currently deductible for income tax purposes. The Company also sponsors a postretirement healthcare plan for employees meeting specified qualifying criteria.</w:t>
      </w:r>
    </w:p>
    <w:p>
      <w:pPr>
        <w:spacing w:after="0" w:line="16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auto"/>
        </w:rPr>
        <w:t>Several statistical and other factors, which attempt to anticipate future events, are used in calculating the expense and liability related to the plans. These factors include assumptions about the discount rate, expected return on plan assets, employee turnover and age at retirement, as determined by the Company, within certain guidelines. In addition, the Company uses subjective factors such as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5" w:name="page36"/>
    <w:bookmarkEnd w:id="35"/>
    <w:p>
      <w:pPr>
        <w:ind w:right="20"/>
        <w:spacing w:after="0" w:line="270" w:lineRule="auto"/>
        <w:rPr>
          <w:sz w:val="20"/>
          <w:szCs w:val="20"/>
          <w:color w:val="auto"/>
        </w:rPr>
      </w:pPr>
      <w:r>
        <w:rPr>
          <w:rFonts w:ascii="Times New Roman" w:cs="Times New Roman" w:eastAsia="Times New Roman" w:hAnsi="Times New Roman"/>
          <w:sz w:val="14"/>
          <w:szCs w:val="14"/>
          <w:color w:val="auto"/>
        </w:rPr>
        <w:t>mortality rates to estimate the projected benefit obligation. The actuarial assumptions used by the Company may differ materially from actual results due to changing market and economic conditions, higher or lower withdrawal rates or longer or shorter life spans of participants. These differences may result in a significant impact to the amount of net periodic pension cost recorded by the Company in future periods. See Note 16 to the consolidated financial statements for additional information.</w:t>
      </w:r>
    </w:p>
    <w:p>
      <w:pPr>
        <w:spacing w:after="0" w:line="15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The discount rate used in determining the actuarial present value of the projected benefit obligation for the Primary Plan and the Bargaining Plan was 5.33% and 5.34%, respectively, in 2022 and 2.97% and 3.31%, respectively, in 2021. The discount rate assumption is generally the estimate which can have the most significant impact on net periodic pension cost and the projected benefit obligation for these pension plans. Given the anticipated termination of the Primary Plan, the Company determined an appropriate discount rate for the Primary Plan in 2022 based on lump sum segment interest rates, expected lump sum election rates and estimated annuity purchase rates. The Company determines an appropriate discount rate annually for the Bargaining Plan based on the Aon AA Above Median yield curve as of the measurement date and reviews the discount rate assumption at the end of each year. See Note 16 to the consolidated financial statements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Pension costs were $13.1 million in 2022 and $9.3 million in 2021.</w:t>
      </w:r>
    </w:p>
    <w:p>
      <w:pPr>
        <w:spacing w:after="0" w:line="200"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A 0.25% increase or decrease in the discount rate assumption would have impacted the projected benefit obligation and the net periodic pension cost for the Primary Plan as indicated below. The portion of the liability expected to be paid as a lump sum during 2023 in connection with the anticipated termination of the Primary Plan does not vary based on changes in discount rates, as the interest rate basis upon which the lump sums will be calculated is known and will not change.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0.25% Increase</w:t>
            </w:r>
          </w:p>
        </w:tc>
        <w:tc>
          <w:tcPr>
            <w:tcW w:w="280" w:type="dxa"/>
            <w:vAlign w:val="bottom"/>
          </w:tcPr>
          <w:p>
            <w:pPr>
              <w:spacing w:after="0"/>
              <w:rPr>
                <w:sz w:val="16"/>
                <w:szCs w:val="16"/>
                <w:color w:val="auto"/>
              </w:rPr>
            </w:pPr>
          </w:p>
        </w:tc>
        <w:tc>
          <w:tcPr>
            <w:tcW w:w="16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0.25% Decrease</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r>
      <w:tr>
        <w:trPr>
          <w:trHeight w:val="180"/>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Projected benefit obligation for Primary Plan at December 31, 2022</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w:t>
            </w:r>
          </w:p>
        </w:tc>
        <w:tc>
          <w:tcPr>
            <w:tcW w:w="1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r>
      <w:tr>
        <w:trPr>
          <w:trHeight w:val="180"/>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periodic pension cost for Primary Plan in 2022</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0.25% increase or decrease in the discount rate assumption would have impacted the projected benefit obligation and the net periodic pension cost for the Bargaining Plan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0.25% Increase</w:t>
            </w:r>
          </w:p>
        </w:tc>
        <w:tc>
          <w:tcPr>
            <w:tcW w:w="280" w:type="dxa"/>
            <w:vAlign w:val="bottom"/>
          </w:tcPr>
          <w:p>
            <w:pPr>
              <w:spacing w:after="0"/>
              <w:rPr>
                <w:sz w:val="16"/>
                <w:szCs w:val="16"/>
                <w:color w:val="auto"/>
              </w:rPr>
            </w:pPr>
          </w:p>
        </w:tc>
        <w:tc>
          <w:tcPr>
            <w:tcW w:w="16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0.25% Decrease</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r>
      <w:tr>
        <w:trPr>
          <w:trHeight w:val="180"/>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Projected benefit obligation for Bargaining Plan at December 31, 2022</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r>
      <w:tr>
        <w:trPr>
          <w:trHeight w:val="180"/>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periodic pension cost for Bargaining Plan in 2022</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r>
    </w:tbl>
    <w:p>
      <w:pPr>
        <w:spacing w:after="0" w:line="2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weighted average expected long-term rate of return of plan assets used in computing net periodic pension cost for the Primary Plan was 3.00% in 2022 and 4.75% in 2021. The weighted average expected long-term rate of return of plan assets used in computing net periodic pension cost for the Bargaining Plan was 5.50% in 2022 and 5.75% in 2021. These rates reflect an estimate of long-term future returns for the pension plan assets. This estimate is primarily a function of the asset classes (equities versus fixed income) in which the pension plan assets are invested and the analysis of past performance of these asset classes over a long period of time. This analysis includes expected long-term inflation and the risk premiums associated with equity and fixed income investments. The analysis also includes planned changes to asset allocations related to the expected termination of the Primary Plan. See Note 16 to the consolidated financial statements for the details by asset type of the Company’s pension plan assets and the weighted average expected long-term rate of return of each asset type. The actual return on pension plan assets for the Primary Plan was a loss of 21.1% in 2022 and a gain of 5.0% in 2021. The actual return on pension plan assets for the Bargaining Plan was a loss of 24.6% in 2022 and a gain of 10.5% in 2021.</w:t>
      </w:r>
    </w:p>
    <w:p>
      <w:pPr>
        <w:spacing w:after="0" w:line="1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Company sponsors a postretirement healthcare plan for employees meeting specified qualifying criteria. Several statistical and other factors, which attempt to anticipate future events, are used in calculating the net periodic postretirement benefit cost and postretirement benefit obligation for this plan. These factors include assumptions about the discount rate and the expected growth rate for the cost of healthcare benefits. In addition, the Company uses subjective factors such as withdrawal and mortality rates to estimate the projected liability under this plan. The actuarial assumptions used by the Company may differ materially from actual results due to changing market and economic conditions, higher or lower withdrawal rates or longer or shorter life spans of participants. The Company does not prefund its postretirement benefits and has the right to modify or terminate certain of these benefits in the future.</w:t>
      </w:r>
    </w:p>
    <w:p>
      <w:pPr>
        <w:spacing w:after="0" w:line="1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discount rate assumption, the annual healthcare cost trend and the ultimate trend rate for healthcare costs are key estimates which can have a significant impact on the net periodic postretirement benefit cost and postretirement benefit obligation in future periods. The Company annually determines the healthcare cost trend based on recent actual medical trend experience and projected experience for subsequent years.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6" w:name="page37"/>
    <w:bookmarkEnd w:id="36"/>
    <w:p>
      <w:pPr>
        <w:ind w:right="20"/>
        <w:spacing w:after="0" w:line="270" w:lineRule="auto"/>
        <w:rPr>
          <w:sz w:val="20"/>
          <w:szCs w:val="20"/>
          <w:color w:val="auto"/>
        </w:rPr>
      </w:pPr>
      <w:r>
        <w:rPr>
          <w:rFonts w:ascii="Times New Roman" w:cs="Times New Roman" w:eastAsia="Times New Roman" w:hAnsi="Times New Roman"/>
          <w:sz w:val="14"/>
          <w:szCs w:val="14"/>
          <w:color w:val="auto"/>
        </w:rPr>
        <w:t>The discount rate assumptions used to determine the postretirement benefit obligation are based on the annual yield on long-term corporate bonds as of the plan’s measurement date. The discount rate used in determining the postretirement benefit obligation was 5.19% in 2022 and 2.98% in 2021. The discount rate was derived using the Aon AA Above Median yield curve. Projected benefit payouts for the plan were matched to the Aon AA Above Median yield curve and an equivalent flat rate was derived.</w:t>
      </w:r>
    </w:p>
    <w:p>
      <w:pPr>
        <w:spacing w:after="0" w:line="157"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A 0.25% increase or decrease in the discount rate assumption would have impacted the postretirement benefit obligation and the net periodic postretirement benefit cost for the Company’s postretirement healthcare plan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0.25% Increase</w:t>
            </w:r>
          </w:p>
        </w:tc>
        <w:tc>
          <w:tcPr>
            <w:tcW w:w="280" w:type="dxa"/>
            <w:vAlign w:val="bottom"/>
          </w:tcPr>
          <w:p>
            <w:pPr>
              <w:spacing w:after="0"/>
              <w:rPr>
                <w:sz w:val="16"/>
                <w:szCs w:val="16"/>
                <w:color w:val="auto"/>
              </w:rPr>
            </w:pPr>
          </w:p>
        </w:tc>
        <w:tc>
          <w:tcPr>
            <w:tcW w:w="16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0.25% Decrease</w:t>
            </w:r>
          </w:p>
        </w:tc>
      </w:tr>
      <w:tr>
        <w:trPr>
          <w:trHeight w:val="171"/>
        </w:trPr>
        <w:tc>
          <w:tcPr>
            <w:tcW w:w="73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w:t>
            </w: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r>
      <w:tr>
        <w:trPr>
          <w:trHeight w:val="180"/>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Postretirement benefit obligation at December 31, 2022</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w:t>
            </w:r>
          </w:p>
        </w:tc>
      </w:tr>
      <w:tr>
        <w:trPr>
          <w:trHeight w:val="180"/>
        </w:trPr>
        <w:tc>
          <w:tcPr>
            <w:tcW w:w="7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periodic postretirement benefit cost in 2022</w:t>
            </w:r>
          </w:p>
        </w:tc>
        <w:tc>
          <w:tcPr>
            <w:tcW w:w="28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Cautionary Note Regarding Forward-Looking Statements</w:t>
      </w:r>
    </w:p>
    <w:p>
      <w:pPr>
        <w:spacing w:after="0" w:line="202" w:lineRule="exact"/>
        <w:rPr>
          <w:sz w:val="20"/>
          <w:szCs w:val="20"/>
          <w:color w:val="auto"/>
        </w:rPr>
      </w:pPr>
    </w:p>
    <w:p>
      <w:pPr>
        <w:spacing w:after="0" w:line="171" w:lineRule="exact"/>
        <w:rPr>
          <w:sz w:val="20"/>
          <w:szCs w:val="20"/>
          <w:color w:val="auto"/>
        </w:rPr>
      </w:pPr>
      <w:r>
        <w:rPr>
          <w:rFonts w:ascii="Times New Roman" w:cs="Times New Roman" w:eastAsia="Times New Roman" w:hAnsi="Times New Roman"/>
          <w:sz w:val="14"/>
          <w:szCs w:val="14"/>
          <w:color w:val="auto"/>
        </w:rPr>
        <w:t>Certain statements made in this report, or in other public filings, press releases, or other written or oral communications made by the Company, which are not historical facts, are forward-looking statements subject to the safe harbor provisions of the Private Securities Litigation Reform Act of 1995. These forward-looking statements involve risks and uncertainties which we expect will or may occur in the future and may impact our business, financial condition and results of operations. The words “anticipate,” “believe,” “expect,” “intend,” “project,” “may,” “will,” “should,” “could” and similar expressions are intended to identify those forward-looking statements. These forward-looking statements reflect the Company’s best judgment based on current information, and, although we base these statements on circumstances that we believe to be reasonable when made, there can be no assurance that future events will not affect the accuracy of such forward-looking information. As such, the forward-looking statements are not guarantees of future performance, and actual results may vary materially from the projected results and expectations discussed in this report. Factors that might cause the Company’s actual results to differ materially from those anticipated in forward-looking statements include, but are not limited to: increased costs (including due to inflation), disruption of supply or unavailability or shortages of raw materials, fuel and other supplies; the reliance on purchased finished products from external sources; changes in public and consumer perception and preferences, including concerns related to product safety and sustainability, artificial ingredients, brand reputation and obesity; the inability to attract and retain front-line employees in a tight labor market; changes in government regulations related to nonalcoholic beverages, including regulations related to obesity, public health, artificial ingredients and product safety and sustainability; decreases from historic levels of marketing funding support provided to us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material changes in the performance requirements for marketing funding support or our inability to meet such requirements; decreases from historic levels of advertising, marketing and product innovation spending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or advertising campaigns that are negatively perceived by the public; any failure of the several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system governance entities of which we are a participant to function efficiently or on our best behalf and any failure or delay of ours to receive anticipated benefits from these governance entities; provisions in our beverage distribution and manufacturing agreements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that could delay or prevent a change in control of us or a sale of our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distribution or manufacturing businesses; the concentration of our capital stock ownership; our inability to meet requirements under our beverage distribution and manufacturing agreements; changes in the inputs used to calculate our acquisition related contingent consideration liability; technology failures or cyberattacks on our technology systems or our effective response to technology failures or cyberattacks on our customers’, suppliers’ or other third parties’ technology systems; unfavorable changes in the general economy; changes in our top customer relationships and marketing strategies; lower than expected net pricing of our products resulting from continued and increased customer and competitor consolidations and marketplace competition; the effect of changes in our level of debt, borrowing costs and credit ratings on our access to capital and credit markets, operating flexibility and ability to obtain additional financing to fund future needs; the failure to attract, train and retain qualified employees while controlling labor costs, and other labor issues; the failure to maintain productive relationships with our employees covered by collective bargaining agreements, including failing to renegotiate collective bargaining agreements; changes in accounting standards; our use of estimates and assumptions; changes in tax laws, disagreements with tax authorities or additional tax liabilities; changes in legal contingencies; natural disasters, changing weather patterns and unfavorable weather; climate change or legislative or regulatory responses to such change; and the risks discussed in “Item 1A. Risk Factors” of this report and elsewhere herein.</w:t>
      </w:r>
    </w:p>
    <w:p>
      <w:pPr>
        <w:spacing w:after="0" w:line="34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Caution should be taken not to place undue reliance on the forward-looking statements included in this report. The Company assumes no obligation to update any forward-looking statements, except as may be required by law. In evaluating forward-looking statements, these risks and uncertainties should be considered, together with the other risks described from time to time in the Company’s reports and other filings with the SEC.</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37" w:name="page38"/>
    <w:bookmarkEnd w:id="37"/>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is subject to interest rate risk on its revolving credit facility and did not have any outstanding borrowings on its revolving credit facility as of December 31, 2022. As such, assuming no changes in the Company’s capital structure, if market interest rates average 1% more over the next 12 months than the interest rates as of December 31, 2022, there would be no change to interest expense for the next 12 months.</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acquisition related contingent consideration liability, which is adjusted to fair value each reporting period, is also impacted by changes in interest rates. The risk-free interest rate used to estimate the Company’s WACC is a component of the discount rate used to calculate the present value of expected future acquisition related sub-bottling payments due under the CBA. As a result, any changes in the underlying risk-free interest rate could result in material changes to the fair value of the acquisition related contingent consideration liability and could materially impact the amount of non-cash expense (or income) recorded each reporting period. The Company estimates a 10 basis point change in the underlying risk-free interest rate used to estimate the Company’s WACC would result in a change of approximately $5 million to the Company’s acquisition related contingent consideration liability.</w:t>
      </w:r>
    </w:p>
    <w:p>
      <w:pPr>
        <w:spacing w:after="0" w:line="16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is exposed to certain market risks and commodity price risk that arise in the ordinary course of business. The Company may enter into commodity derivative instruments to manage or reduce market risk. The Company does not use commodity derivative instruments for trading or speculative purposes.</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is also subject to commodity price risk arising from price movements for certain commodities included as part of its raw materials. The Company manages this commodity price risk in some cases by entering into contracts with adjustable prices to hedge commodity purchases. The Company periodically uses commodity derivative instruments in the management of this risk. The Company estimates a 10% increase in the market prices of commodities included as part of its raw materials over the current market prices would cumulatively increase costs during the next 12 months by approximately $74 million assuming no change in volume.</w:t>
      </w:r>
    </w:p>
    <w:p>
      <w:pPr>
        <w:spacing w:after="0" w:line="16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Fees paid by the Company for agreements to hedge commodity purchases are amortized over the corresponding period of the agreement. The Company accounts for its commodity derivative instruments on a mark-to-market basis with any expense or income being reflected as an adjustment to cost of sales or SD&amp;A expenses, consistent with the expense classification of the underlying hedged item.</w:t>
      </w:r>
    </w:p>
    <w:p>
      <w:pPr>
        <w:spacing w:after="0" w:line="15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annual rate of inflation in the United States, as measured by year-over-year changes in the Consumer Price Index (the “CPI”), was 6.5% in 2022, 7.0% in 2021 and 1.4% in 2020. Inflation in the prices of those commodities important to the Company’s business is reflected in changes in the CPI, but commodity prices are volatile and in recent years have moved at a faster rate of change than the CPI.</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principal effect of inflation in both commodity and consumer prices on the Company’s operating results is to increase costs, both of goods sold and SD&amp;A expenses. Although the Company can offset these cost increases by increasing selling prices for its products, consumers may not have the buying power to cover these increased costs and may reduce their volume of purchases of those products. In that event, selling price increases may not be sufficient to offset completely the Company’s cost increases.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32" w:right="359" w:bottom="1440" w:gutter="0" w:footer="0" w:header="0"/>
        </w:sectPr>
      </w:pPr>
    </w:p>
    <w:bookmarkStart w:id="38" w:name="page39"/>
    <w:bookmarkEnd w:id="38"/>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8.</w:t>
        <w:tab/>
        <w:t>Financial Statements and Supplementary Data.</w:t>
      </w:r>
    </w:p>
    <w:p>
      <w:pPr>
        <w:spacing w:after="0" w:line="181"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COCA</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COLA CONSOLIDATED,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6,200,957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5,562,714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5,007,357</w:t>
            </w:r>
          </w:p>
        </w:tc>
        <w:tc>
          <w:tcPr>
            <w:tcW w:w="0" w:type="dxa"/>
            <w:vAlign w:val="bottom"/>
          </w:tcPr>
          <w:p>
            <w:pPr>
              <w:spacing w:after="0"/>
              <w:rPr>
                <w:sz w:val="1"/>
                <w:szCs w:val="1"/>
                <w:color w:val="auto"/>
              </w:rPr>
            </w:pP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3,923,003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3,608,527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3,238,448</w:t>
            </w:r>
          </w:p>
        </w:tc>
        <w:tc>
          <w:tcPr>
            <w:tcW w:w="0" w:type="dxa"/>
            <w:vAlign w:val="bottom"/>
          </w:tcPr>
          <w:p>
            <w:pPr>
              <w:spacing w:after="0"/>
              <w:rPr>
                <w:sz w:val="1"/>
                <w:szCs w:val="1"/>
                <w:color w:val="auto"/>
              </w:rPr>
            </w:pPr>
          </w:p>
        </w:tc>
      </w:tr>
      <w:tr>
        <w:trPr>
          <w:trHeight w:val="171"/>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2,277,954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1,954,187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1,768,909</w:t>
            </w:r>
          </w:p>
        </w:tc>
        <w:tc>
          <w:tcPr>
            <w:tcW w:w="0" w:type="dxa"/>
            <w:vAlign w:val="bottom"/>
          </w:tcPr>
          <w:p>
            <w:pPr>
              <w:spacing w:after="0"/>
              <w:rPr>
                <w:sz w:val="1"/>
                <w:szCs w:val="1"/>
                <w:color w:val="auto"/>
              </w:rPr>
            </w:pP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delivery and administrative expenses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1,636,907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1,515,016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1,455,531</w:t>
            </w:r>
          </w:p>
        </w:tc>
        <w:tc>
          <w:tcPr>
            <w:tcW w:w="0" w:type="dxa"/>
            <w:vAlign w:val="bottom"/>
          </w:tcPr>
          <w:p>
            <w:pPr>
              <w:spacing w:after="0"/>
              <w:rPr>
                <w:sz w:val="1"/>
                <w:szCs w:val="1"/>
                <w:color w:val="auto"/>
              </w:rPr>
            </w:pPr>
          </w:p>
        </w:tc>
      </w:tr>
      <w:tr>
        <w:trPr>
          <w:trHeight w:val="171"/>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439,171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313,378</w:t>
            </w: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36,735</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150,573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35,603</w:t>
            </w: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241,040</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144,929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65,569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58,943</w:t>
            </w: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189,580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182,097</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9,604</w:t>
            </w: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Net income attributable to Coca</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Cola Consolidated, Inc.</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430,158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189,580</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172,493</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Basic net income per share based on net income attributable to Coca</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Cola Consolidated, Inc.:</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Stock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8,117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7,141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7,141</w:t>
            </w:r>
          </w:p>
        </w:tc>
        <w:tc>
          <w:tcPr>
            <w:tcW w:w="0" w:type="dxa"/>
            <w:vAlign w:val="bottom"/>
          </w:tcPr>
          <w:p>
            <w:pPr>
              <w:spacing w:after="0"/>
              <w:rPr>
                <w:sz w:val="1"/>
                <w:szCs w:val="1"/>
                <w:color w:val="auto"/>
              </w:rPr>
            </w:pPr>
          </w:p>
        </w:tc>
      </w:tr>
      <w:tr>
        <w:trPr>
          <w:trHeight w:val="170"/>
        </w:trPr>
        <w:tc>
          <w:tcPr>
            <w:tcW w:w="6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Class B Common Stock shares outstanding</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Diluted net income per share based on net income attributable to Coca</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Cola Consolidated, Inc.:</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Stock shares outstanding – assuming dilution</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9,427</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number of Class B Common Stock shares outstanding – assuming dilution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7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2,259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9" w:name="page40"/>
    <w:bookmarkEnd w:id="39"/>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COCA</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COLA CONSOLIDATED,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40" w:type="dxa"/>
            <w:vAlign w:val="bottom"/>
          </w:tcPr>
          <w:p>
            <w:pPr>
              <w:spacing w:after="0"/>
              <w:rPr>
                <w:sz w:val="14"/>
                <w:szCs w:val="14"/>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430,158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189,580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182,097</w:t>
            </w:r>
          </w:p>
        </w:tc>
      </w:tr>
      <w:tr>
        <w:trPr>
          <w:trHeight w:val="170"/>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Defined benefit plans reclassification including pension costs: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gain (loss)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80"/>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Prior service credits (costs)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benefits reclassification including benefit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Actuarial gain (loss)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w:t>
            </w:r>
          </w:p>
        </w:tc>
      </w:tr>
      <w:tr>
        <w:trPr>
          <w:trHeight w:val="18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8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1"/>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r>
      <w:tr>
        <w:trPr>
          <w:trHeight w:val="150"/>
        </w:trPr>
        <w:tc>
          <w:tcPr>
            <w:tcW w:w="6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178,046</w:t>
            </w:r>
          </w:p>
        </w:tc>
      </w:tr>
      <w:tr>
        <w:trPr>
          <w:trHeight w:val="18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9,604</w:t>
            </w:r>
          </w:p>
        </w:tc>
      </w:tr>
      <w:tr>
        <w:trPr>
          <w:trHeight w:val="196"/>
        </w:trPr>
        <w:tc>
          <w:tcPr>
            <w:tcW w:w="6760" w:type="dxa"/>
            <w:vAlign w:val="bottom"/>
            <w:tcBorders>
              <w:top w:val="single" w:sz="8" w:color="CCEEFF"/>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Comprehensive income attributable to Coca</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Cola Consolidated, Inc.</w:t>
            </w: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445,784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208,170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168,442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40" w:name="page41"/>
    <w:bookmarkEnd w:id="40"/>
    <w:p>
      <w:pPr>
        <w:ind w:left="4440"/>
        <w:spacing w:after="0" w:line="161" w:lineRule="exact"/>
        <w:rPr>
          <w:sz w:val="20"/>
          <w:szCs w:val="20"/>
          <w:color w:val="auto"/>
        </w:rPr>
      </w:pPr>
      <w:r>
        <w:rPr>
          <w:rFonts w:ascii="Times New Roman" w:cs="Times New Roman" w:eastAsia="Times New Roman" w:hAnsi="Times New Roman"/>
          <w:sz w:val="14"/>
          <w:szCs w:val="14"/>
          <w:b w:val="1"/>
          <w:bCs w:val="1"/>
          <w:color w:val="auto"/>
        </w:rPr>
        <w:t>COCA</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COLA CONSOLIDATED, INC.</w:t>
      </w:r>
    </w:p>
    <w:p>
      <w:pPr>
        <w:spacing w:after="0" w:line="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24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40" w:type="dxa"/>
            <w:vAlign w:val="bottom"/>
          </w:tcPr>
          <w:p>
            <w:pPr>
              <w:spacing w:after="0"/>
              <w:rPr>
                <w:sz w:val="14"/>
                <w:szCs w:val="14"/>
                <w:color w:val="auto"/>
              </w:rPr>
            </w:pPr>
          </w:p>
        </w:tc>
        <w:tc>
          <w:tcPr>
            <w:tcW w:w="16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43"/>
        </w:trPr>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w w:val="94"/>
              </w:rPr>
              <w:t>ASSETS</w:t>
            </w:r>
          </w:p>
        </w:tc>
        <w:tc>
          <w:tcPr>
            <w:tcW w:w="6780" w:type="dxa"/>
            <w:vAlign w:val="bottom"/>
            <w:tcBorders>
              <w:top w:val="single" w:sz="8" w:color="auto"/>
              <w:bottom w:val="single" w:sz="8" w:color="CCEEFF"/>
            </w:tcBorders>
            <w:gridSpan w:val="2"/>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spacing w:after="0"/>
              <w:rPr>
                <w:sz w:val="12"/>
                <w:szCs w:val="12"/>
                <w:color w:val="auto"/>
              </w:rPr>
            </w:pPr>
          </w:p>
        </w:tc>
        <w:tc>
          <w:tcPr>
            <w:tcW w:w="16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spacing w:after="0"/>
              <w:rPr>
                <w:sz w:val="12"/>
                <w:szCs w:val="12"/>
                <w:color w:val="auto"/>
              </w:rPr>
            </w:pPr>
          </w:p>
        </w:tc>
        <w:tc>
          <w:tcPr>
            <w:tcW w:w="162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142,314</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Accounts receivable, trade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532,047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472,270</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(17,336)</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Accounts receivable from The Coca-Cola Company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57,737</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other</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33,878</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Inventories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302,851</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78,068</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Assets held for sale</w:t>
            </w:r>
          </w:p>
        </w:tc>
        <w:tc>
          <w:tcPr>
            <w:tcW w:w="240" w:type="dxa"/>
            <w:vAlign w:val="bottom"/>
          </w:tcPr>
          <w:p>
            <w:pPr>
              <w:spacing w:after="0"/>
              <w:rPr>
                <w:sz w:val="14"/>
                <w:szCs w:val="14"/>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6,880</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744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1,245,801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1,076,662</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1,183,730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1,030,688</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Right-of-use assets - operating leases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140,588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139,877</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Leased property under financing leases,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64,211</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120,486</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165,903</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 agreements, net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842,035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836,777</w:t>
            </w:r>
          </w:p>
        </w:tc>
      </w:tr>
      <w:tr>
        <w:trPr>
          <w:trHeight w:val="168"/>
        </w:trPr>
        <w:tc>
          <w:tcPr>
            <w:tcW w:w="20" w:type="dxa"/>
            <w:vAlign w:val="bottom"/>
            <w:tcBorders>
              <w:bottom w:val="single" w:sz="8" w:color="CCEEFF"/>
            </w:tcBorders>
          </w:tcPr>
          <w:p>
            <w:pPr>
              <w:spacing w:after="0"/>
              <w:rPr>
                <w:sz w:val="14"/>
                <w:szCs w:val="14"/>
                <w:color w:val="auto"/>
              </w:rPr>
            </w:pPr>
          </w:p>
        </w:tc>
        <w:tc>
          <w:tcPr>
            <w:tcW w:w="74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3"/>
                <w:szCs w:val="13"/>
                <w:color w:val="auto"/>
              </w:rPr>
              <w:t>Customer lists, net</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9,165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10,966</w:t>
            </w: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7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3,709,545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3,445,570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150"/>
        </w:trPr>
        <w:tc>
          <w:tcPr>
            <w:tcW w:w="20" w:type="dxa"/>
            <w:vAlign w:val="bottom"/>
            <w:shd w:val="clear" w:color="auto" w:fill="CCEEFF"/>
          </w:tcPr>
          <w:p>
            <w:pPr>
              <w:spacing w:after="0"/>
              <w:rPr>
                <w:sz w:val="13"/>
                <w:szCs w:val="13"/>
                <w:color w:val="auto"/>
              </w:rPr>
            </w:pPr>
          </w:p>
        </w:tc>
        <w:tc>
          <w:tcPr>
            <w:tcW w:w="7440" w:type="dxa"/>
            <w:vAlign w:val="bottom"/>
            <w:gridSpan w:val="4"/>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5820" w:type="dxa"/>
            <w:vAlign w:val="bottom"/>
            <w:tcBorders>
              <w:top w:val="single" w:sz="8" w:color="CCEEFF"/>
            </w:tcBorders>
            <w:gridSpan w:val="2"/>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portion of obligations under operating leases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22,048</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Current portion of obligations under financing leases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6,060</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trade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351,729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319,318</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Accounts payable to The Coca-Cola Company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145,671</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accrued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226,769</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Accrued compensation</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110,894</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interest payable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4,096</w:t>
            </w:r>
          </w:p>
        </w:tc>
      </w:tr>
      <w:tr>
        <w:trPr>
          <w:trHeight w:val="168"/>
        </w:trPr>
        <w:tc>
          <w:tcPr>
            <w:tcW w:w="20" w:type="dxa"/>
            <w:vAlign w:val="bottom"/>
            <w:tcBorders>
              <w:bottom w:val="single" w:sz="8" w:color="CCEEFF"/>
            </w:tcBorders>
          </w:tcPr>
          <w:p>
            <w:pPr>
              <w:spacing w:after="0"/>
              <w:rPr>
                <w:sz w:val="14"/>
                <w:szCs w:val="14"/>
                <w:color w:val="auto"/>
              </w:rPr>
            </w:pPr>
          </w:p>
        </w:tc>
        <w:tc>
          <w:tcPr>
            <w:tcW w:w="74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3"/>
                <w:szCs w:val="13"/>
                <w:color w:val="auto"/>
              </w:rPr>
              <w:t>Dividends payable</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32,808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905,156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834,856</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136,432</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Pension and postretirement benefit obligations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93,391</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753,357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758,610</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portion of obligations under operating leases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122,046</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Noncurrent portion of obligations under financing leases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65,006</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598,817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723,443</w:t>
            </w:r>
          </w:p>
        </w:tc>
      </w:tr>
      <w:tr>
        <w:trPr>
          <w:trHeight w:val="159"/>
        </w:trPr>
        <w:tc>
          <w:tcPr>
            <w:tcW w:w="20" w:type="dxa"/>
            <w:vAlign w:val="bottom"/>
            <w:tcBorders>
              <w:bottom w:val="single" w:sz="8" w:color="CCEEFF"/>
            </w:tcBorders>
          </w:tcPr>
          <w:p>
            <w:pPr>
              <w:spacing w:after="0"/>
              <w:rPr>
                <w:sz w:val="13"/>
                <w:szCs w:val="13"/>
                <w:color w:val="auto"/>
              </w:rPr>
            </w:pPr>
          </w:p>
        </w:tc>
        <w:tc>
          <w:tcPr>
            <w:tcW w:w="7440" w:type="dxa"/>
            <w:vAlign w:val="bottom"/>
            <w:tcBorders>
              <w:bottom w:val="single" w:sz="8" w:color="CCEEFF"/>
            </w:tcBorders>
            <w:gridSpan w:val="4"/>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2,594,157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2,733,784</w:t>
            </w:r>
          </w:p>
        </w:tc>
      </w:tr>
      <w:tr>
        <w:trPr>
          <w:trHeight w:val="151"/>
        </w:trPr>
        <w:tc>
          <w:tcPr>
            <w:tcW w:w="20" w:type="dxa"/>
            <w:vAlign w:val="bottom"/>
            <w:shd w:val="clear" w:color="auto" w:fill="CCEEFF"/>
          </w:tcPr>
          <w:p>
            <w:pPr>
              <w:spacing w:after="0"/>
              <w:rPr>
                <w:sz w:val="13"/>
                <w:szCs w:val="13"/>
                <w:color w:val="auto"/>
              </w:rPr>
            </w:pPr>
          </w:p>
        </w:tc>
        <w:tc>
          <w:tcPr>
            <w:tcW w:w="7440" w:type="dxa"/>
            <w:vAlign w:val="bottom"/>
            <w:gridSpan w:val="4"/>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Preferred Stock, $100.00 par value: authorized - 50,000 shares; issued - none</w:t>
            </w:r>
          </w:p>
        </w:tc>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Nonconvertible Preferred Stock, $100.00 par value: authorized - 50,000 shares; issued - none</w:t>
            </w:r>
          </w:p>
        </w:tc>
        <w:tc>
          <w:tcPr>
            <w:tcW w:w="240" w:type="dxa"/>
            <w:vAlign w:val="bottom"/>
          </w:tcPr>
          <w:p>
            <w:pPr>
              <w:spacing w:after="0"/>
              <w:rPr>
                <w:sz w:val="14"/>
                <w:szCs w:val="14"/>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$0.01 par value: authorized - 20,000,000 shares; issued - none</w:t>
            </w:r>
          </w:p>
        </w:tc>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Common Stock, $1.00 par value: authorized - 30,000,000 shares; issued - 11,431,367 and 10,203,821 shares,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10,204</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B Common Stock, $1.00 par value: authorized - 10,000,000 shares; issued - 1,632,810 and 2,860,356 shares,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2,860</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Class C Common Stock, $1.00 par value: authorized - 20,000,000 shares; issued - none</w:t>
            </w:r>
          </w:p>
        </w:tc>
        <w:tc>
          <w:tcPr>
            <w:tcW w:w="240" w:type="dxa"/>
            <w:vAlign w:val="bottom"/>
          </w:tcPr>
          <w:p>
            <w:pPr>
              <w:spacing w:after="0"/>
              <w:rPr>
                <w:sz w:val="14"/>
                <w:szCs w:val="14"/>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 in capital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135,953</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1,112,462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724,486</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(100,463)</w:t>
            </w:r>
          </w:p>
        </w:tc>
      </w:tr>
      <w:tr>
        <w:trPr>
          <w:trHeight w:val="168"/>
        </w:trPr>
        <w:tc>
          <w:tcPr>
            <w:tcW w:w="20" w:type="dxa"/>
            <w:vAlign w:val="bottom"/>
          </w:tcPr>
          <w:p>
            <w:pPr>
              <w:spacing w:after="0"/>
              <w:rPr>
                <w:sz w:val="14"/>
                <w:szCs w:val="1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Treasury stock, at cost: Common Stock - 3,062,374 shares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(60,845)</w:t>
            </w:r>
          </w:p>
        </w:tc>
      </w:tr>
      <w:tr>
        <w:trPr>
          <w:trHeight w:val="172"/>
        </w:trPr>
        <w:tc>
          <w:tcPr>
            <w:tcW w:w="20" w:type="dxa"/>
            <w:vAlign w:val="bottom"/>
            <w:shd w:val="clear" w:color="auto" w:fill="CCEEFF"/>
          </w:tcPr>
          <w:p>
            <w:pPr>
              <w:spacing w:after="0"/>
              <w:rPr>
                <w:sz w:val="14"/>
                <w:szCs w:val="14"/>
                <w:color w:val="auto"/>
              </w:rPr>
            </w:pPr>
          </w:p>
        </w:tc>
        <w:tc>
          <w:tcPr>
            <w:tcW w:w="7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Treasury stock, at cost: Class B Common Stock - 628,114 shares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r>
      <w:tr>
        <w:trPr>
          <w:trHeight w:val="159"/>
        </w:trPr>
        <w:tc>
          <w:tcPr>
            <w:tcW w:w="20" w:type="dxa"/>
            <w:vAlign w:val="bottom"/>
            <w:tcBorders>
              <w:bottom w:val="single" w:sz="8" w:color="CCEEFF"/>
            </w:tcBorders>
          </w:tcPr>
          <w:p>
            <w:pPr>
              <w:spacing w:after="0"/>
              <w:rPr>
                <w:sz w:val="13"/>
                <w:szCs w:val="13"/>
                <w:color w:val="auto"/>
              </w:rPr>
            </w:pPr>
          </w:p>
        </w:tc>
        <w:tc>
          <w:tcPr>
            <w:tcW w:w="7440" w:type="dxa"/>
            <w:vAlign w:val="bottom"/>
            <w:tcBorders>
              <w:bottom w:val="single" w:sz="8" w:color="CCEEFF"/>
            </w:tcBorders>
            <w:gridSpan w:val="4"/>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1,115,388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711,786</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7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3,709,545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3,445,570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COCA-COLA CONSOLIDATED,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71"/>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00" w:type="dxa"/>
            <w:vAlign w:val="bottom"/>
          </w:tcPr>
          <w:p>
            <w:pPr>
              <w:spacing w:after="0"/>
              <w:rPr>
                <w:sz w:val="14"/>
                <w:szCs w:val="14"/>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430,158</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189,580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182,097</w:t>
            </w:r>
          </w:p>
        </w:tc>
      </w:tr>
      <w:tr>
        <w:trPr>
          <w:trHeight w:val="18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expense from property, plant and equipment and financing leases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155,936</w:t>
            </w:r>
          </w:p>
        </w:tc>
      </w:tr>
      <w:tr>
        <w:trPr>
          <w:trHeight w:val="180"/>
        </w:trPr>
        <w:tc>
          <w:tcPr>
            <w:tcW w:w="7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intangible assets and deferred proceeds, net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23,081</w:t>
            </w:r>
          </w:p>
        </w:tc>
      </w:tr>
      <w:tr>
        <w:trPr>
          <w:trHeight w:val="180"/>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Fair value adjustment of acquisition related contingent consideration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31,210</w:t>
            </w:r>
          </w:p>
        </w:tc>
      </w:tr>
      <w:tr>
        <w:trPr>
          <w:trHeight w:val="180"/>
        </w:trPr>
        <w:tc>
          <w:tcPr>
            <w:tcW w:w="7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payroll taxes under CARES Act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37,412</w:t>
            </w:r>
          </w:p>
        </w:tc>
      </w:tr>
      <w:tr>
        <w:trPr>
          <w:trHeight w:val="180"/>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8,737</w:t>
            </w:r>
          </w:p>
        </w:tc>
      </w:tr>
      <w:tr>
        <w:trPr>
          <w:trHeight w:val="180"/>
        </w:trPr>
        <w:tc>
          <w:tcPr>
            <w:tcW w:w="7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sale of property, plant and equipment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w:t>
            </w:r>
          </w:p>
        </w:tc>
      </w:tr>
      <w:tr>
        <w:trPr>
          <w:trHeight w:val="180"/>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of debt costs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r>
      <w:tr>
        <w:trPr>
          <w:trHeight w:val="180"/>
        </w:trPr>
        <w:tc>
          <w:tcPr>
            <w:tcW w:w="7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and abandonment of property, plant and equipment</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w:t>
            </w:r>
          </w:p>
        </w:tc>
      </w:tr>
      <w:tr>
        <w:trPr>
          <w:trHeight w:val="180"/>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current assets less current liabilities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30,595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36,901</w:t>
            </w:r>
          </w:p>
        </w:tc>
      </w:tr>
      <w:tr>
        <w:trPr>
          <w:trHeight w:val="180"/>
        </w:trPr>
        <w:tc>
          <w:tcPr>
            <w:tcW w:w="7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other noncurrent assets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21,820</w:t>
            </w:r>
          </w:p>
        </w:tc>
      </w:tr>
      <w:tr>
        <w:trPr>
          <w:trHeight w:val="180"/>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other noncurrent liabilities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(18,065)</w:t>
            </w:r>
          </w:p>
        </w:tc>
      </w:tr>
      <w:tr>
        <w:trPr>
          <w:trHeight w:val="180"/>
        </w:trPr>
        <w:tc>
          <w:tcPr>
            <w:tcW w:w="7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r>
      <w:tr>
        <w:trPr>
          <w:trHeight w:val="171"/>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adjustments</w:t>
            </w: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124,348</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332,175</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312,364</w:t>
            </w:r>
          </w:p>
        </w:tc>
      </w:tr>
      <w:tr>
        <w:trPr>
          <w:trHeight w:val="196"/>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554,506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521,755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494,461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8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(298,611)</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(155,693)</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(202,034)</w:t>
            </w:r>
          </w:p>
        </w:tc>
      </w:tr>
      <w:tr>
        <w:trPr>
          <w:trHeight w:val="18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distribution rights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w:t>
            </w:r>
          </w:p>
        </w:tc>
      </w:tr>
      <w:tr>
        <w:trPr>
          <w:trHeight w:val="18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CONA Services LLC</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r>
      <w:tr>
        <w:trPr>
          <w:trHeight w:val="171"/>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(324,985)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(161,943)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(200,419)</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1"/>
        </w:trPr>
        <w:tc>
          <w:tcPr>
            <w:tcW w:w="6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on term loan facility and senior notes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of acquisition related contingent consideration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(43,400)</w:t>
            </w:r>
          </w:p>
        </w:tc>
      </w:tr>
      <w:tr>
        <w:trPr>
          <w:trHeight w:val="18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paid</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(9,374)</w:t>
            </w: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on financing lease obligations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(5,861)</w:t>
            </w:r>
          </w:p>
        </w:tc>
      </w:tr>
      <w:tr>
        <w:trPr>
          <w:trHeight w:val="18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fees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Borrowings under term loan facility</w:t>
            </w: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w:t>
            </w: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Borrowings under revolving credit facility</w:t>
            </w: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235,000</w:t>
            </w:r>
          </w:p>
        </w:tc>
      </w:tr>
      <w:tr>
        <w:trPr>
          <w:trHeight w:val="18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 in Piedmont Coca-Cola Bottling Partnership</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71"/>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(174,187)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(272,291)</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(248,863)</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1"/>
        </w:trPr>
        <w:tc>
          <w:tcPr>
            <w:tcW w:w="6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increase in cash</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55,334</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87,521</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45,179</w:t>
            </w:r>
          </w:p>
        </w:tc>
      </w:tr>
      <w:tr>
        <w:trPr>
          <w:trHeight w:val="18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at beginning of year</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w:t>
            </w:r>
          </w:p>
        </w:tc>
      </w:tr>
      <w:tr>
        <w:trPr>
          <w:trHeight w:val="171"/>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at end of year</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197,648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142,314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54,793</w:t>
            </w: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COCA-COLA CONSOLIDATED,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Treasury</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Class B</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120" w:type="dxa"/>
            <w:vAlign w:val="bottom"/>
          </w:tcPr>
          <w:p>
            <w:pPr>
              <w:spacing w:after="0"/>
              <w:rPr>
                <w:sz w:val="9"/>
                <w:szCs w:val="9"/>
                <w:color w:val="auto"/>
              </w:rPr>
            </w:pPr>
          </w:p>
        </w:tc>
        <w:tc>
          <w:tcPr>
            <w:tcW w:w="72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0"/>
                <w:szCs w:val="10"/>
                <w:b w:val="1"/>
                <w:bCs w:val="1"/>
                <w:color w:val="auto"/>
                <w:w w:val="96"/>
              </w:rPr>
              <w:t>Treasury</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0"/>
                <w:szCs w:val="10"/>
                <w:b w:val="1"/>
                <w:bCs w:val="1"/>
                <w:color w:val="auto"/>
                <w:w w:val="94"/>
              </w:rPr>
              <w:t>Stock -</w:t>
            </w:r>
          </w:p>
        </w:tc>
        <w:tc>
          <w:tcPr>
            <w:tcW w:w="140" w:type="dxa"/>
            <w:vAlign w:val="bottom"/>
          </w:tcPr>
          <w:p>
            <w:pPr>
              <w:spacing w:after="0"/>
              <w:rPr>
                <w:sz w:val="9"/>
                <w:szCs w:val="9"/>
                <w:color w:val="auto"/>
              </w:rPr>
            </w:pPr>
          </w:p>
        </w:tc>
        <w:tc>
          <w:tcPr>
            <w:tcW w:w="94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0"/>
                <w:szCs w:val="10"/>
                <w:b w:val="1"/>
                <w:bCs w:val="1"/>
                <w:color w:val="auto"/>
              </w:rPr>
              <w:t>Equity</w:t>
            </w:r>
          </w:p>
        </w:tc>
        <w:tc>
          <w:tcPr>
            <w:tcW w:w="120" w:type="dxa"/>
            <w:vAlign w:val="bottom"/>
          </w:tcPr>
          <w:p>
            <w:pPr>
              <w:spacing w:after="0"/>
              <w:rPr>
                <w:sz w:val="9"/>
                <w:szCs w:val="9"/>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Non-</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 Paid</w:t>
            </w:r>
          </w:p>
        </w:tc>
        <w:tc>
          <w:tcPr>
            <w:tcW w:w="160" w:type="dxa"/>
            <w:vAlign w:val="bottom"/>
          </w:tcPr>
          <w:p>
            <w:pPr>
              <w:spacing w:after="0"/>
              <w:rPr>
                <w:sz w:val="8"/>
                <w:szCs w:val="8"/>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60" w:type="dxa"/>
            <w:vAlign w:val="bottom"/>
          </w:tcPr>
          <w:p>
            <w:pPr>
              <w:spacing w:after="0"/>
              <w:rPr>
                <w:sz w:val="8"/>
                <w:szCs w:val="8"/>
                <w:color w:val="auto"/>
              </w:rPr>
            </w:pPr>
          </w:p>
        </w:tc>
        <w:tc>
          <w:tcPr>
            <w:tcW w:w="104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20" w:type="dxa"/>
            <w:vAlign w:val="bottom"/>
          </w:tcPr>
          <w:p>
            <w:pPr>
              <w:spacing w:after="0"/>
              <w:rPr>
                <w:sz w:val="8"/>
                <w:szCs w:val="8"/>
                <w:color w:val="auto"/>
              </w:rPr>
            </w:pPr>
          </w:p>
        </w:tc>
        <w:tc>
          <w:tcPr>
            <w:tcW w:w="72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0"/>
                <w:szCs w:val="10"/>
                <w:b w:val="1"/>
                <w:bCs w:val="1"/>
                <w:color w:val="auto"/>
              </w:rPr>
              <w:t>Stock -</w:t>
            </w: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w w:val="99"/>
              </w:rPr>
              <w:t>Class B</w:t>
            </w: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0"/>
                <w:szCs w:val="10"/>
                <w:b w:val="1"/>
                <w:bCs w:val="1"/>
                <w:color w:val="auto"/>
                <w:w w:val="96"/>
              </w:rPr>
              <w:t>of Coca-Cola</w:t>
            </w: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5"/>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share data)</w:t>
            </w: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88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20" w:type="dxa"/>
            <w:vAlign w:val="bottom"/>
          </w:tcPr>
          <w:p>
            <w:pPr>
              <w:spacing w:after="0"/>
              <w:rPr>
                <w:sz w:val="8"/>
                <w:szCs w:val="8"/>
                <w:color w:val="auto"/>
              </w:rPr>
            </w:pPr>
          </w:p>
        </w:tc>
        <w:tc>
          <w:tcPr>
            <w:tcW w:w="72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rPr>
              <w:t>Common</w:t>
            </w: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0"/>
                <w:szCs w:val="10"/>
                <w:b w:val="1"/>
                <w:bCs w:val="1"/>
                <w:color w:val="auto"/>
                <w:w w:val="98"/>
              </w:rPr>
              <w:t>Consolidated,</w:t>
            </w: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0"/>
                <w:szCs w:val="10"/>
                <w:b w:val="1"/>
                <w:bCs w:val="1"/>
                <w:color w:val="auto"/>
                <w:w w:val="98"/>
              </w:rPr>
              <w:t>controlling</w:t>
            </w:r>
          </w:p>
        </w:tc>
        <w:tc>
          <w:tcPr>
            <w:tcW w:w="1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in Capital</w:t>
            </w:r>
          </w:p>
        </w:tc>
        <w:tc>
          <w:tcPr>
            <w:tcW w:w="1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6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Loss</w:t>
            </w:r>
          </w:p>
        </w:tc>
        <w:tc>
          <w:tcPr>
            <w:tcW w:w="12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Inc.</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80" w:type="dxa"/>
            <w:vAlign w:val="bottom"/>
          </w:tcPr>
          <w:p>
            <w:pPr>
              <w:spacing w:after="0"/>
              <w:rPr>
                <w:sz w:val="12"/>
                <w:szCs w:val="12"/>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6"/>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on December 29, 2019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10,204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2,860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128,983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381,161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(115,002)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(60,845)</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1"/>
                <w:szCs w:val="11"/>
                <w:b w:val="1"/>
                <w:bCs w:val="1"/>
                <w:color w:val="auto"/>
              </w:rPr>
              <w:t>(409)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346,952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104,164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451,116</w:t>
            </w: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172,493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172,493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182,097</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 net of tax</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(4,051)</w:t>
            </w: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Common Stock ($1.00 per share)</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(7,141)</w:t>
            </w:r>
          </w:p>
        </w:tc>
        <w:tc>
          <w:tcPr>
            <w:tcW w:w="0" w:type="dxa"/>
            <w:vAlign w:val="bottom"/>
          </w:tcPr>
          <w:p>
            <w:pPr>
              <w:spacing w:after="0"/>
              <w:rPr>
                <w:sz w:val="1"/>
                <w:szCs w:val="1"/>
                <w:color w:val="auto"/>
              </w:rPr>
            </w:pPr>
          </w:p>
        </w:tc>
      </w:tr>
      <w:tr>
        <w:trPr>
          <w:trHeight w:val="106"/>
        </w:trPr>
        <w:tc>
          <w:tcPr>
            <w:tcW w:w="2280" w:type="dxa"/>
            <w:vAlign w:val="bottom"/>
            <w:gridSpan w:val="2"/>
          </w:tcPr>
          <w:p>
            <w:pPr>
              <w:ind w:left="120"/>
              <w:spacing w:after="0" w:line="106" w:lineRule="exact"/>
              <w:rPr>
                <w:sz w:val="20"/>
                <w:szCs w:val="20"/>
                <w:color w:val="auto"/>
              </w:rPr>
            </w:pPr>
            <w:r>
              <w:rPr>
                <w:rFonts w:ascii="Times New Roman" w:cs="Times New Roman" w:eastAsia="Times New Roman" w:hAnsi="Times New Roman"/>
                <w:sz w:val="11"/>
                <w:szCs w:val="11"/>
                <w:color w:val="auto"/>
              </w:rPr>
              <w:t>Class B Common Stock</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(2,233)</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(2,233)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(2,233)</w:t>
            </w:r>
          </w:p>
        </w:tc>
        <w:tc>
          <w:tcPr>
            <w:tcW w:w="0" w:type="dxa"/>
            <w:vAlign w:val="bottom"/>
          </w:tcPr>
          <w:p>
            <w:pPr>
              <w:spacing w:after="0"/>
              <w:rPr>
                <w:sz w:val="1"/>
                <w:szCs w:val="1"/>
                <w:color w:val="auto"/>
              </w:rPr>
            </w:pPr>
          </w:p>
        </w:tc>
      </w:tr>
      <w:tr>
        <w:trPr>
          <w:trHeight w:val="153"/>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($1.00 per share)</w:t>
            </w: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280" w:type="dxa"/>
            <w:vAlign w:val="bottom"/>
            <w:gridSpan w:val="2"/>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Purchase of noncontrolling interest in Piedmont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6,970</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6,970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(113,768)</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(106,798)</w:t>
            </w:r>
          </w:p>
        </w:tc>
        <w:tc>
          <w:tcPr>
            <w:tcW w:w="0" w:type="dxa"/>
            <w:vAlign w:val="bottom"/>
          </w:tcPr>
          <w:p>
            <w:pPr>
              <w:spacing w:after="0"/>
              <w:rPr>
                <w:sz w:val="1"/>
                <w:szCs w:val="1"/>
                <w:color w:val="auto"/>
              </w:rPr>
            </w:pPr>
          </w:p>
        </w:tc>
      </w:tr>
      <w:tr>
        <w:trPr>
          <w:trHeight w:val="159"/>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Coca-Cola Bottling Partnership</w:t>
            </w: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Balance on December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10,204</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2,860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135,953</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544,280</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(119,053)</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(60,845)</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(409)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512,990</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512,990</w:t>
            </w:r>
          </w:p>
        </w:tc>
        <w:tc>
          <w:tcPr>
            <w:tcW w:w="0" w:type="dxa"/>
            <w:vAlign w:val="bottom"/>
          </w:tcPr>
          <w:p>
            <w:pPr>
              <w:spacing w:after="0"/>
              <w:rPr>
                <w:sz w:val="1"/>
                <w:szCs w:val="1"/>
                <w:color w:val="auto"/>
              </w:rPr>
            </w:pPr>
          </w:p>
        </w:tc>
      </w:tr>
      <w:tr>
        <w:trPr>
          <w:trHeight w:val="15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189,580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189,580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189,580</w:t>
            </w: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comprehensive income, net of tax</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18,590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18,590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18,590</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Common Stock ($1.00 per share)</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(7,141)</w:t>
            </w:r>
          </w:p>
        </w:tc>
        <w:tc>
          <w:tcPr>
            <w:tcW w:w="0" w:type="dxa"/>
            <w:vAlign w:val="bottom"/>
          </w:tcPr>
          <w:p>
            <w:pPr>
              <w:spacing w:after="0"/>
              <w:rPr>
                <w:sz w:val="1"/>
                <w:szCs w:val="1"/>
                <w:color w:val="auto"/>
              </w:rPr>
            </w:pPr>
          </w:p>
        </w:tc>
      </w:tr>
      <w:tr>
        <w:trPr>
          <w:trHeight w:val="112"/>
        </w:trPr>
        <w:tc>
          <w:tcPr>
            <w:tcW w:w="2280" w:type="dxa"/>
            <w:vAlign w:val="bottom"/>
            <w:gridSpan w:val="2"/>
            <w:shd w:val="clear" w:color="auto" w:fill="CCEEFF"/>
          </w:tcPr>
          <w:p>
            <w:pPr>
              <w:ind w:left="120"/>
              <w:spacing w:after="0" w:line="113" w:lineRule="exact"/>
              <w:rPr>
                <w:sz w:val="20"/>
                <w:szCs w:val="20"/>
                <w:color w:val="auto"/>
              </w:rPr>
            </w:pPr>
            <w:r>
              <w:rPr>
                <w:rFonts w:ascii="Times New Roman" w:cs="Times New Roman" w:eastAsia="Times New Roman" w:hAnsi="Times New Roman"/>
                <w:sz w:val="11"/>
                <w:szCs w:val="11"/>
                <w:color w:val="auto"/>
              </w:rPr>
              <w:t>Class B Common Stock</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(2,233)</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(2,233)</w:t>
            </w:r>
          </w:p>
        </w:tc>
        <w:tc>
          <w:tcPr>
            <w:tcW w:w="0" w:type="dxa"/>
            <w:vAlign w:val="bottom"/>
          </w:tcPr>
          <w:p>
            <w:pPr>
              <w:spacing w:after="0"/>
              <w:rPr>
                <w:sz w:val="1"/>
                <w:szCs w:val="1"/>
                <w:color w:val="auto"/>
              </w:rPr>
            </w:pPr>
          </w:p>
        </w:tc>
      </w:tr>
      <w:tr>
        <w:trPr>
          <w:trHeight w:val="159"/>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($1.00 per share)</w:t>
            </w: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Balance on December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10,204</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2,860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135,953</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724,486</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(100,463)</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(60,845)</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(409)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711,786</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711,786</w:t>
            </w:r>
          </w:p>
        </w:tc>
        <w:tc>
          <w:tcPr>
            <w:tcW w:w="0" w:type="dxa"/>
            <w:vAlign w:val="bottom"/>
          </w:tcPr>
          <w:p>
            <w:pPr>
              <w:spacing w:after="0"/>
              <w:rPr>
                <w:sz w:val="1"/>
                <w:szCs w:val="1"/>
                <w:color w:val="auto"/>
              </w:rPr>
            </w:pPr>
          </w:p>
        </w:tc>
      </w:tr>
      <w:tr>
        <w:trPr>
          <w:trHeight w:val="15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430,158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430,158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430,158</w:t>
            </w: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comprehensive income, net of tax</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15,626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15,626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15,626</w:t>
            </w:r>
          </w:p>
        </w:tc>
        <w:tc>
          <w:tcPr>
            <w:tcW w:w="0" w:type="dxa"/>
            <w:vAlign w:val="bottom"/>
          </w:tcPr>
          <w:p>
            <w:pPr>
              <w:spacing w:after="0"/>
              <w:rPr>
                <w:sz w:val="1"/>
                <w:szCs w:val="1"/>
                <w:color w:val="auto"/>
              </w:rPr>
            </w:pPr>
          </w:p>
        </w:tc>
      </w:tr>
      <w:tr>
        <w:trPr>
          <w:trHeight w:val="16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Common Stock ($4.50 per share)</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(37,354)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(37,354)</w:t>
            </w:r>
          </w:p>
        </w:tc>
        <w:tc>
          <w:tcPr>
            <w:tcW w:w="0" w:type="dxa"/>
            <w:vAlign w:val="bottom"/>
          </w:tcPr>
          <w:p>
            <w:pPr>
              <w:spacing w:after="0"/>
              <w:rPr>
                <w:sz w:val="1"/>
                <w:szCs w:val="1"/>
                <w:color w:val="auto"/>
              </w:rPr>
            </w:pPr>
          </w:p>
        </w:tc>
      </w:tr>
      <w:tr>
        <w:trPr>
          <w:trHeight w:val="112"/>
        </w:trPr>
        <w:tc>
          <w:tcPr>
            <w:tcW w:w="2280" w:type="dxa"/>
            <w:vAlign w:val="bottom"/>
            <w:gridSpan w:val="2"/>
            <w:shd w:val="clear" w:color="auto" w:fill="CCEEFF"/>
          </w:tcPr>
          <w:p>
            <w:pPr>
              <w:ind w:left="120"/>
              <w:spacing w:after="0" w:line="113" w:lineRule="exact"/>
              <w:rPr>
                <w:sz w:val="20"/>
                <w:szCs w:val="20"/>
                <w:color w:val="auto"/>
              </w:rPr>
            </w:pPr>
            <w:r>
              <w:rPr>
                <w:rFonts w:ascii="Times New Roman" w:cs="Times New Roman" w:eastAsia="Times New Roman" w:hAnsi="Times New Roman"/>
                <w:sz w:val="11"/>
                <w:szCs w:val="11"/>
                <w:color w:val="auto"/>
              </w:rPr>
              <w:t>Class B Common Stock</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(4,828)</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(4,828)</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(4,828)</w:t>
            </w:r>
          </w:p>
        </w:tc>
        <w:tc>
          <w:tcPr>
            <w:tcW w:w="0" w:type="dxa"/>
            <w:vAlign w:val="bottom"/>
          </w:tcPr>
          <w:p>
            <w:pPr>
              <w:spacing w:after="0"/>
              <w:rPr>
                <w:sz w:val="1"/>
                <w:szCs w:val="1"/>
                <w:color w:val="auto"/>
              </w:rPr>
            </w:pPr>
          </w:p>
        </w:tc>
      </w:tr>
      <w:tr>
        <w:trPr>
          <w:trHeight w:val="159"/>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($4.50 per share)</w:t>
            </w: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28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1"/>
                <w:szCs w:val="11"/>
                <w:color w:val="auto"/>
              </w:rPr>
              <w:t>Conversion of 1,227,546 shares of Class B</w:t>
            </w:r>
          </w:p>
        </w:tc>
        <w:tc>
          <w:tcPr>
            <w:tcW w:w="100" w:type="dxa"/>
            <w:vAlign w:val="bottom"/>
          </w:tcPr>
          <w:p>
            <w:pPr>
              <w:spacing w:after="0"/>
              <w:rPr>
                <w:sz w:val="9"/>
                <w:szCs w:val="9"/>
                <w:color w:val="auto"/>
              </w:rPr>
            </w:pPr>
          </w:p>
        </w:tc>
        <w:tc>
          <w:tcPr>
            <w:tcW w:w="58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1,227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on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11,431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135,953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1,112,462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(84,837)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(60,845)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1"/>
                <w:szCs w:val="11"/>
                <w:b w:val="1"/>
                <w:bCs w:val="1"/>
                <w:color w:val="auto"/>
              </w:rPr>
              <w:t>(409)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1,115,388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1,115,388</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COCA-COLA CONSOLIDATED,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3" w:lineRule="exact"/>
        <w:rPr>
          <w:sz w:val="20"/>
          <w:szCs w:val="20"/>
          <w:color w:val="auto"/>
        </w:rPr>
      </w:pPr>
    </w:p>
    <w:p>
      <w:pPr>
        <w:ind w:right="6460" w:firstLine="5"/>
        <w:spacing w:after="0" w:line="523" w:lineRule="auto"/>
        <w:tabs>
          <w:tab w:leader="none" w:pos="637"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Business and Summary of Critical Accounting Policies Description of Business</w:t>
      </w:r>
    </w:p>
    <w:p>
      <w:pPr>
        <w:spacing w:after="0" w:line="1" w:lineRule="exact"/>
        <w:rPr>
          <w:sz w:val="20"/>
          <w:szCs w:val="20"/>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Consolidated, Inc. (the “Company”) distributes, markets and manufactures nonalcoholic beverages, primarily products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is the largest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 in the United States. Approximately 86% of the Company’s total bottle/can sales volume to retail customers consists of products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which include some of the most recognized and popular beverage brands in the world. The Company also distributes products for several other beverage companies, including Keurig Dr Pepper Inc. and Monster Energy Company.</w:t>
      </w:r>
    </w:p>
    <w:p>
      <w:pPr>
        <w:spacing w:after="0" w:line="178" w:lineRule="exact"/>
        <w:rPr>
          <w:sz w:val="20"/>
          <w:szCs w:val="20"/>
          <w:color w:val="auto"/>
        </w:rPr>
      </w:pPr>
    </w:p>
    <w:p>
      <w:pPr>
        <w:ind w:right="180"/>
        <w:spacing w:after="0" w:line="175" w:lineRule="exact"/>
        <w:rPr>
          <w:sz w:val="20"/>
          <w:szCs w:val="20"/>
          <w:color w:val="auto"/>
        </w:rPr>
      </w:pPr>
      <w:r>
        <w:rPr>
          <w:rFonts w:ascii="Times New Roman" w:cs="Times New Roman" w:eastAsia="Times New Roman" w:hAnsi="Times New Roman"/>
          <w:sz w:val="14"/>
          <w:szCs w:val="14"/>
          <w:color w:val="auto"/>
        </w:rPr>
        <w:t>The Company offers a range of nonalcoholic beverage products and flavors, including both sparkling and still beverages, designed to meet the demands of its consumers. Sparkling beverages are carbonated beverages and the Company’s principal sparkling beverage is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Still beverages include energy products and noncarbonated beverages such as bottled water, ready to drink tea, ready to drink coffee, enhanced water, juices and sports drinks.</w:t>
      </w:r>
    </w:p>
    <w:p>
      <w:pPr>
        <w:spacing w:after="0" w:line="17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Company’s products are sold and distributed in the United States through various channels, which include selling directly to customers, including grocery stores, mass merchandise stores, club stores, convenience stores and drug stores, selling to on-premise locations, where products are typically consumed immediately, such as restaurants, schools, amusement parks and recreational facilities, and selling through other channels such as vending machine outlets.</w:t>
      </w:r>
    </w:p>
    <w:p>
      <w:pPr>
        <w:spacing w:after="0" w:line="15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Company manages its business on the basis of three operating segments. Nonalcoholic Beverages represents the vast majority of the Company’s consolidated net sales and income from operations. The additional two operating segments do not meet the quantitative thresholds for separate reporting, either individually or in the aggregate, and, therefore, have been combined into “All Other.”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202"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and the consolidated operations of the Company and its majority-owned subsidiaries. All significant intercompany accounts and transactions have been eliminated.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accounting principles generally accepted in the United States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Cash and cash equivalents include cash on hand, cash in banks and cash equivalents, which are highly liquid debt instruments with maturities of less than 90 days. The Company maintains cash deposits with major banks, which, from time to time, may exceed federally insured limits. The Company periodically assesses the financial condition of the institutions and believes the risk of any loss is minimal.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 Trade</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sells its products and extends credit, generally without requiring collateral, based on an ongoing evaluation of the customer’s business prospects and financial condition. The Company evaluates the collectability of its trade accounts receivable based on a number of factors, including the Company’s historic collections pattern and changes to a specific customer’s ability to meet its financial obligations. The Company typically collects payment from customers within 30 days from the date of sale.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has established an allowance for doubtful accounts to adjust the recorded receivable to the estimated amount the Company believes will ultimately be collected. The Company’s allowance for doubtful accounts in the consolidated balance sheets includes a reserve for customer returns and an allowance for credit losses. The Company experiences customer returns primarily as a result of damaged or out-of-date product. At any given time, the Company estimates less than 1% of bottle/can sales and post-mix sales could be at risk for return by customers. Returned product is recognized as a reduction to net sales.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4" w:name="page45"/>
    <w:bookmarkEnd w:id="44"/>
    <w:p>
      <w:pPr>
        <w:jc w:val="both"/>
        <w:ind w:right="420"/>
        <w:spacing w:after="0" w:line="270" w:lineRule="auto"/>
        <w:rPr>
          <w:sz w:val="20"/>
          <w:szCs w:val="20"/>
          <w:color w:val="auto"/>
        </w:rPr>
      </w:pPr>
      <w:r>
        <w:rPr>
          <w:rFonts w:ascii="Times New Roman" w:cs="Times New Roman" w:eastAsia="Times New Roman" w:hAnsi="Times New Roman"/>
          <w:sz w:val="14"/>
          <w:szCs w:val="14"/>
          <w:color w:val="auto"/>
        </w:rPr>
        <w:t>The Company estimates an allowance for credit losses, based on historic days’ sales outstanding trends, aged customer balances, previously written-off balances and expected recoveries up to balances previously written off, in order to present the net amount expected to be collected. Accounts receivable balances are written off when determined uncollectible and are recognized as a reduction to the allowance for credit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Inventories are stated at the lower of cost or net realizable value. Cost is determined on the first-in, first-out method for finished products and manufacturing materials and on the average cost method for plastic shells, plastic pallets and other inventories.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Property, plant and equipment are recorded at cost, less accumulated depreciation. Depreciation is calculated using the straight-line method over the estimated useful lives of the assets. Leasehold improvements on operating leases are depreciated over the shorter of the estimated useful lives or the term of the lease, including renewal options the Company determines are reasonably assured. Additions and major replacements or betterments are added to the assets at cost. Maintenance and repair costs and minor replacements are charged to expense when incurred. When assets are replaced or otherwise disposed, the cost and accumulated depreciation are removed from the accounts and the gains or losses, if any, are reflected in the consolidated statements of operations. Gains or losses on the disposal of manufacturing equipment and manufacturing plants are included in cost of sales. Gains or losses on the disposal of all other property, plant and equipment are included in selling, delivery and administrative (“SD&amp;A”) expenses.</w:t>
      </w:r>
    </w:p>
    <w:p>
      <w:pPr>
        <w:spacing w:after="0" w:line="167"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4"/>
          <w:szCs w:val="14"/>
          <w:color w:val="auto"/>
        </w:rPr>
        <w:t>The Company evaluates the recoverability of the carrying amount of its property, plant and equipment when events or circumstances indicate the carrying amount of an asset or asset group may not be recoverable. These evaluations are performed at a level where independent cash flows may be attributed to either an asset or an asset group. If the Company determines the carrying amount of an asset or asset group is not recoverable based upon the expected undiscounted future cash flows of the asset or asset group, an impairment loss is recorded equal to the excess of the carrying amounts over the estimated fair values of the long-lived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Company leases office and warehouse space, machinery and other equipment under noncancelable operating lease agreements and also leases certain warehouse space under financing lease agreements. The Company uses the following policies and assumptions to evaluate its leases:</w:t>
      </w:r>
    </w:p>
    <w:p>
      <w:pPr>
        <w:spacing w:after="0" w:line="143" w:lineRule="exact"/>
        <w:rPr>
          <w:sz w:val="20"/>
          <w:szCs w:val="20"/>
          <w:color w:val="auto"/>
        </w:rPr>
      </w:pPr>
    </w:p>
    <w:p>
      <w:pPr>
        <w:ind w:left="260" w:right="180" w:hanging="255"/>
        <w:spacing w:after="0" w:line="261"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Determining a lease: </w:t>
      </w:r>
      <w:r>
        <w:rPr>
          <w:rFonts w:ascii="Times New Roman" w:cs="Times New Roman" w:eastAsia="Times New Roman" w:hAnsi="Times New Roman"/>
          <w:sz w:val="14"/>
          <w:szCs w:val="14"/>
          <w:color w:val="auto"/>
        </w:rPr>
        <w:t>The Company assesses contracts at inception to determine whether an arrangement is or includes a lease, which conveys the Company’s right to control the use of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identified asset for a period of time in exchange for consideration. Operating lease right-of-use assets and associated liabilities are recognized at the commencement date and initially measured based on the present value of lease payments over the defined lease term.</w:t>
      </w:r>
    </w:p>
    <w:p>
      <w:pPr>
        <w:ind w:left="260" w:right="220" w:hanging="255"/>
        <w:spacing w:after="0" w:line="253"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Allocating lease and non-lease components: </w:t>
      </w:r>
      <w:r>
        <w:rPr>
          <w:rFonts w:ascii="Times New Roman" w:cs="Times New Roman" w:eastAsia="Times New Roman" w:hAnsi="Times New Roman"/>
          <w:sz w:val="14"/>
          <w:szCs w:val="14"/>
          <w:color w:val="auto"/>
        </w:rPr>
        <w:t>The Company has elected the practical expedient to not separate lease and non-lease components for certain classes of underlying assets.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has equipment and vehicle lease agreements, which generally have the lease and associated non-lease components accounted for as a single lease component. The Company has real estate lease agreements with lease and non-lease components, which are accounted for separately where applicable.</w:t>
      </w:r>
    </w:p>
    <w:p>
      <w:pPr>
        <w:ind w:left="260" w:right="20" w:hanging="255"/>
        <w:spacing w:after="0" w:line="253"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Calculating the discount rate: </w:t>
      </w:r>
      <w:r>
        <w:rPr>
          <w:rFonts w:ascii="Times New Roman" w:cs="Times New Roman" w:eastAsia="Times New Roman" w:hAnsi="Times New Roman"/>
          <w:sz w:val="14"/>
          <w:szCs w:val="14"/>
          <w:color w:val="auto"/>
        </w:rPr>
        <w:t>The Company calculates the discount rate based on the discount rate implicit in the lease, or if the implicit rate is not readily determinable from the lease, then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calculates an incremental borrowing rate using a portfolio approach. The incremental borrowing rate is calculated using the contractual lease term and the Company’s borrowing rate.</w:t>
      </w:r>
    </w:p>
    <w:p>
      <w:pPr>
        <w:ind w:left="260" w:right="400" w:hanging="255"/>
        <w:spacing w:after="0" w:line="253"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Recognizing leases: </w:t>
      </w:r>
      <w:r>
        <w:rPr>
          <w:rFonts w:ascii="Times New Roman" w:cs="Times New Roman" w:eastAsia="Times New Roman" w:hAnsi="Times New Roman"/>
          <w:sz w:val="14"/>
          <w:szCs w:val="14"/>
          <w:color w:val="auto"/>
        </w:rPr>
        <w:t>The Company does not recognize leases with a contractual term of less than 12 months on its consolidated balance sheets. Lease expense for these short-term leases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expensed on a straight-line basis over the lease term.</w:t>
      </w:r>
    </w:p>
    <w:p>
      <w:pPr>
        <w:ind w:left="260" w:right="460" w:hanging="255"/>
        <w:spacing w:after="0" w:line="253"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Including rent increases or escalation clauses: </w:t>
      </w:r>
      <w:r>
        <w:rPr>
          <w:rFonts w:ascii="Times New Roman" w:cs="Times New Roman" w:eastAsia="Times New Roman" w:hAnsi="Times New Roman"/>
          <w:sz w:val="14"/>
          <w:szCs w:val="14"/>
          <w:color w:val="auto"/>
        </w:rPr>
        <w:t>Certain leases contain scheduled rent increases or escalation clauses, which can be based on the Consumer Price Index or other rates.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assesses each contract individually and applies the appropriate variable payments based on the terms of the agreement.</w:t>
      </w:r>
    </w:p>
    <w:p>
      <w:pPr>
        <w:ind w:left="260" w:right="20" w:hanging="255"/>
        <w:spacing w:after="0" w:line="257"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Including renewal options and/or purchase options: </w:t>
      </w:r>
      <w:r>
        <w:rPr>
          <w:rFonts w:ascii="Times New Roman" w:cs="Times New Roman" w:eastAsia="Times New Roman" w:hAnsi="Times New Roman"/>
          <w:sz w:val="14"/>
          <w:szCs w:val="14"/>
          <w:color w:val="auto"/>
        </w:rPr>
        <w:t>Certain leases include renewal options to extend the lease term and/or purchase options to purchase the leased asset.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assesses these options using a threshold of reasonably certain, which is a high threshold and, therefore, the majority of the Company’s leases do not include renewal periods or purchase options for the measurement of the right-of-use asset and the associated lease liability. For leases the Company is reasonably certain to renew or purchase, those options are included within the lease term and, therefore, included in the measurement of the right-of-use asset and the associated lease liability.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45" w:name="page46"/>
    <w:bookmarkEnd w:id="45"/>
    <w:p>
      <w:pPr>
        <w:ind w:left="260" w:right="20" w:hanging="255"/>
        <w:spacing w:after="0" w:line="265" w:lineRule="auto"/>
        <w:tabs>
          <w:tab w:leader="none" w:pos="2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Including options to terminate: </w:t>
      </w:r>
      <w:r>
        <w:rPr>
          <w:rFonts w:ascii="Times New Roman" w:cs="Times New Roman" w:eastAsia="Times New Roman" w:hAnsi="Times New Roman"/>
          <w:sz w:val="14"/>
          <w:szCs w:val="14"/>
          <w:color w:val="auto"/>
        </w:rPr>
        <w:t>Certain leases include the option to terminate the lease prior to its scheduled expiration. This allows a contractually bound party to terminate its obligation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lease contract, typically in return for an agreed-upon financial consideration. The terms and conditions of the termination options vary by contract.</w:t>
      </w: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Including residual value guarantees, restrictions or covenants: </w:t>
      </w:r>
      <w:r>
        <w:rPr>
          <w:rFonts w:ascii="Times New Roman" w:cs="Times New Roman" w:eastAsia="Times New Roman" w:hAnsi="Times New Roman"/>
          <w:sz w:val="14"/>
          <w:szCs w:val="14"/>
          <w:color w:val="auto"/>
        </w:rPr>
        <w:t>The Company’s lease agreements do not contain residual value guarantees, restrictions or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 Use Software</w:t>
      </w:r>
    </w:p>
    <w:p>
      <w:pPr>
        <w:spacing w:after="0" w:line="20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The Company capitalizes costs incurred in the development or acquisition of internal use software. The Company expenses costs incurred in the preliminary project planning stage. Costs, such as maintenance and training, are also expensed as incurred. Capitalized costs are amortized over their estimated useful lives using the straight-line method. Amortization expense for internal use software, which is included in depreciation expense, was $3.0 million in 2022, $5.4 million in 2021 and $6.7 million in 2020.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All business combinations are accounted for using the acquisition method. Goodwill is tested for impairment annually, or more frequently if facts and circumstances indicate such assets may be impaired. The Company performs its annual goodwill impairment test, which includes a qualitative assessment to determine whether it is more likely than not that the fair value of the goodwill is below its carrying value, as of the first day of the fourth quarter each year, and more often if there are significant changes in business conditions that could result in impairment.</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All of the Company’s goodwill resides within one reporting unit within the Nonalcoholic Beverages reportable segment and, therefore, the Company has determined it has one reporting unit for the purpose of assessing goodwill for potential impairment. The Company uses its overall market capitalization as part of its estimate of fair value of the reporting unit and in assessing the reasonableness of the Company’s internal estimates of fair value.</w:t>
      </w:r>
    </w:p>
    <w:p>
      <w:pPr>
        <w:spacing w:after="0" w:line="15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When a quantitative analysis is considered necessary for the annual impairment analysis of goodwill, the Company develops an estimated fair value for the reporting unit considering three different approaches:</w:t>
      </w:r>
    </w:p>
    <w:p>
      <w:pPr>
        <w:spacing w:after="0" w:line="145" w:lineRule="exact"/>
        <w:rPr>
          <w:sz w:val="20"/>
          <w:szCs w:val="20"/>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using the Company’s stock price plus outstanding debt;</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discounted cash flow analysis; and</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of earnings before interest, taxes, depreciation and amortization based upon relevant industry data.</w:t>
      </w:r>
    </w:p>
    <w:p>
      <w:pPr>
        <w:spacing w:after="0" w:line="185"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4"/>
          <w:szCs w:val="14"/>
          <w:color w:val="auto"/>
        </w:rPr>
        <w:t>The estimated fair value of the reporting unit is then compared to its carrying amount, including goodwill. If the estimated fair value exceeds the carrying amount, goodwill is not considered impaired. If the carrying amount, including goodwill, exceeds its estimated fair value, any excess of the carrying value of goodwill of the reporting unit over its fair value is recorded as an impairment.</w:t>
      </w:r>
    </w:p>
    <w:p>
      <w:pPr>
        <w:spacing w:after="0" w:line="15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To the extent the actual and projected cash flows decline in the future or if market conditions or market capitalization significantly deteriorate, the Company may be required to perform an interim impairment analysis that could result in an impairment of goodwill.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2022, 2021 and 2020, the Company performed its annual impairment test of goodwill and determined there was no impairment of the carrying value of these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 Agreements and Customer Lists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Company’s definite-lived intangible assets consist of distribution agreements and customer lists, which have estimated useful lives of 20 to 40 years and five to 12 years, respectively. These assets are amortized on a straight-line basis over their estimated useful lives.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 Related Contingent Consideration Liability</w:t>
      </w:r>
    </w:p>
    <w:p>
      <w:pPr>
        <w:spacing w:after="0" w:line="181" w:lineRule="exact"/>
        <w:rPr>
          <w:sz w:val="20"/>
          <w:szCs w:val="20"/>
          <w:color w:val="auto"/>
        </w:rPr>
      </w:pPr>
    </w:p>
    <w:p>
      <w:pPr>
        <w:ind w:right="80"/>
        <w:spacing w:after="0" w:line="176" w:lineRule="exact"/>
        <w:rPr>
          <w:sz w:val="20"/>
          <w:szCs w:val="20"/>
          <w:color w:val="auto"/>
        </w:rPr>
      </w:pPr>
      <w:r>
        <w:rPr>
          <w:rFonts w:ascii="Times New Roman" w:cs="Times New Roman" w:eastAsia="Times New Roman" w:hAnsi="Times New Roman"/>
          <w:sz w:val="14"/>
          <w:szCs w:val="14"/>
          <w:color w:val="auto"/>
        </w:rPr>
        <w:t>The acquisition related contingent consideration liability consists of the estimated amounts due to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under the Company’s comprehensive beverage agreements (collectively, the “CBA”)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Refreshments USA, Inc. (“CCR”), a wholly owned subsidiary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over the useful life of the related distribution rights. The CBA relates to a multi-year series of transactions, which were completed in October 2017, through which the Company acquired and exchanged distribution territories and manufacturing plants (the “System Transformation”). Pursuant to the CBA, the Company is required to make quarterly acquisition related sub-bottling payments to CCR on a continuing basis in exchange for the grant of exclusive rights to distribute, promote, market and sell the authorized brands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related products in certain distribution territories the Company acquired from CCR. This acquisition related contingent consideration is valued</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6" w:name="page47"/>
    <w:bookmarkEnd w:id="46"/>
    <w:p>
      <w:pPr>
        <w:ind w:right="340"/>
        <w:spacing w:after="0" w:line="287" w:lineRule="auto"/>
        <w:rPr>
          <w:sz w:val="20"/>
          <w:szCs w:val="20"/>
          <w:color w:val="auto"/>
        </w:rPr>
      </w:pPr>
      <w:r>
        <w:rPr>
          <w:rFonts w:ascii="Times New Roman" w:cs="Times New Roman" w:eastAsia="Times New Roman" w:hAnsi="Times New Roman"/>
          <w:sz w:val="14"/>
          <w:szCs w:val="14"/>
          <w:color w:val="auto"/>
        </w:rPr>
        <w:t>using a probability weighted discounted cash flow model based on internal forecasts and the weighted average cost of capital (“WACC”) derived from market data, which are considered Level 3 inputs.</w:t>
      </w:r>
    </w:p>
    <w:p>
      <w:pPr>
        <w:spacing w:after="0" w:line="1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Each reporting period, the Company adjusts its acquisition related contingent consideration liability related to the distribution territories subject to acquisition related sub-bottling payments to fair value by discounting future expected acquisition related sub-bottling payments required under the CBA using the Company’s estimated WACC. These future expected acquisition related sub-bottling payments extend through the life of the related distribution assets acquired in each distribution territory, which is generally 40 years. As a result, the fair value of the acquisition related contingent consideration liability is impacted by the Company’s WACC, management’s estimate of the acquisition related sub-bottling payments that will be made in the future under the CBA and current acquisition related sub-bottling payments (all Level 3 inputs). Changes in any of these Level 3 inputs, particularly the underlying risk-free interest rate used to estimate the Company’s WACC, could result in material changes to the fair value of the acquisition related contingent consideration liability and could materially impact the amount of non-cash expense (or income) recorded each reporting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and Postretirement Benefit Plans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There are two Company-sponsored pension plans. The primary Company-sponsored pension plan (the “Primary Plan”) was frozen as of June 30, 2006 and no benefits accrued to participants after that date. The second Company-sponsored pension plan (the “Bargaining Plan”) is for certain employees under collective bargaining agreements. Benefits under the Bargaining Plan are determined in accordance with negotiated formulas for the respective participants. Contributions to the plans are based on actuarially determined amounts and are limited to the amounts currently deductible for income tax purposes. The Company also sponsors a postretirement healthcare plan for employees meeting specified qualifying criteria.</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The expense and liability amounts recorded for the benefit plans reflect estimates related to interest rates, investment returns, employee turnover and age at retirement, mortality rates and healthcare costs. Given the anticipated termination of the Primary Plan, the Company determined an appropriate discount rate for the Primary Plan in 2022 based on lump sum segment interest rates, expected lump sum election rates and estimated annuity purchase rates. See Note 16 for additional discussion of the anticipated termination of the Primary Plan. The Company determines an appropriate discount rate annually for the Bargaining Plan and the postretirement healthcare plan based on the Aon AA Above Median yield curve as of the measurement date and reviews the discount rate assumption at the end of each year. The service cost components of the net periodic benefit cost of the plans are charged to current operations, and the non-service cost components of the net periodic benefit cost of the plans are classified as other expense, net. In addition, certain other union employees are covered by plans provided by their respective union organizations and the Company expenses amounts as paid in accordance with union agreements.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20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Deferred tax assets and liabilities are recognized for the future tax consequences attributable to operating losses and tax credit carryforwards, as well as the differences between the financial statement carrying amounts of existing assets and liabilities and their respective tax bases. The effect on deferred tax assets and liabilities of a change in tax rates is recognized in income in the period that includes the enactment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valuation allowance will be provided against deferred tax assets if the Company determines it is more likely than not such assets will not ultimately be realized.</w:t>
      </w:r>
    </w:p>
    <w:p>
      <w:pPr>
        <w:spacing w:after="0" w:line="200"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The Company does not recognize a tax benefit unless it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in the Company’s judgment, is greater than 50% likely to be realized. The Company records interest and penalties related to uncertain tax positions in income tax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202" w:lineRule="exact"/>
        <w:rPr>
          <w:sz w:val="20"/>
          <w:szCs w:val="20"/>
          <w:color w:val="auto"/>
        </w:rPr>
      </w:pPr>
    </w:p>
    <w:p>
      <w:pPr>
        <w:ind w:right="120"/>
        <w:spacing w:after="0" w:line="173" w:lineRule="exact"/>
        <w:rPr>
          <w:sz w:val="20"/>
          <w:szCs w:val="20"/>
          <w:color w:val="auto"/>
        </w:rPr>
      </w:pPr>
      <w:r>
        <w:rPr>
          <w:rFonts w:ascii="Times New Roman" w:cs="Times New Roman" w:eastAsia="Times New Roman" w:hAnsi="Times New Roman"/>
          <w:sz w:val="14"/>
          <w:szCs w:val="14"/>
          <w:color w:val="auto"/>
        </w:rPr>
        <w:t>The Company’s sales are divided into two main categories: (i) bottle/can sales and (ii) other sales. Bottle/can sales include products packaged primarily in plastic bottles and aluminum cans. Bottle/can net pricing is based on the invoice price charged to customers reduced by any promotional allowances. Bottle/can net pricing per unit is impacted by the price charged per package, the sales volume generated for each package and the channels in which those packages are sold. Other sales include sales to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post-mix sales, transportation revenue and equipment maintenance revenue. Post-mix products are dispensed through equipment that mixes fountain syrups with carbonated or still water, enabling fountain retailers to sell finished products to consumers in cups or glasses.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7" w:name="page48"/>
    <w:bookmarkEnd w:id="47"/>
    <w:p>
      <w:pPr>
        <w:jc w:val="both"/>
        <w:ind w:right="120"/>
        <w:spacing w:after="0" w:line="174" w:lineRule="exact"/>
        <w:rPr>
          <w:sz w:val="20"/>
          <w:szCs w:val="20"/>
          <w:color w:val="auto"/>
        </w:rPr>
      </w:pPr>
      <w:r>
        <w:rPr>
          <w:rFonts w:ascii="Times New Roman" w:cs="Times New Roman" w:eastAsia="Times New Roman" w:hAnsi="Times New Roman"/>
          <w:sz w:val="14"/>
          <w:szCs w:val="14"/>
          <w:color w:val="auto"/>
        </w:rPr>
        <w:t>The Company’s contracts are derived from customer orders, including customer sales incentives, generated through an order processing and replenishment model. Generally, the Company’s service contracts and contracts related to the delivery of specifically identifiable products have a single performance obligation. Revenues do not include sales or other taxes collected from customers. The Company has defined its performance obligations for its contracts as either at a point in time or over time. Bottle/can sales, sales to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and post-mix sales are recognized when control transfers to a customer, which is generally upon delivery and is considered a single point in time (“point in time”).</w:t>
      </w:r>
    </w:p>
    <w:p>
      <w:pPr>
        <w:spacing w:after="0" w:line="17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Other sales, which include revenue for service fees related to the repair of cold drink equipment and delivery fees for freight hauling and brokerage services, are recognized over time (“over time”). Revenues related to cold drink equipment repair are recognized as the respective services are completed using a cost-to-cost input method. Repair services are generally completed in less than one day but can extend up to one month. Revenues related to freight hauling and brokerage services are recognized as the delivery occurs using a miles driven output method. Generally, delivery occurs and freight charges are recognized in the same day. Over time sales orders open at the end of a financial period are not material to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 Programs and Sales Incentives</w:t>
      </w:r>
    </w:p>
    <w:p>
      <w:pPr>
        <w:spacing w:after="0" w:line="181" w:lineRule="exact"/>
        <w:rPr>
          <w:sz w:val="20"/>
          <w:szCs w:val="20"/>
          <w:color w:val="auto"/>
        </w:rPr>
      </w:pPr>
    </w:p>
    <w:p>
      <w:pPr>
        <w:jc w:val="both"/>
        <w:ind w:right="40"/>
        <w:spacing w:after="0" w:line="182" w:lineRule="exact"/>
        <w:rPr>
          <w:sz w:val="20"/>
          <w:szCs w:val="20"/>
          <w:color w:val="auto"/>
        </w:rPr>
      </w:pPr>
      <w:r>
        <w:rPr>
          <w:rFonts w:ascii="Times New Roman" w:cs="Times New Roman" w:eastAsia="Times New Roman" w:hAnsi="Times New Roman"/>
          <w:sz w:val="14"/>
          <w:szCs w:val="14"/>
          <w:color w:val="auto"/>
        </w:rPr>
        <w:t>The Company participates in various sales programs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other beverage companies and customers to increase the sale of its products. Programs negotiated with customers include arrangements under which allowances can be earned for attaining agreed-upon sales levels. The cost of these various sales incentives is not considered a separate performance obligation and is included as a deduction to net sales.</w:t>
      </w:r>
    </w:p>
    <w:p>
      <w:pPr>
        <w:spacing w:after="0" w:line="17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Allowance payments made to customers can be conditional on the achievement of volume targets and/or marketing commitments. Payments made in advance are recorded as prepayments and amortized in the consolidated statements of operations over the relevant period for which the customer commitment is made. In the event there is no separate identifiable benefit or the fair value of such benefit cannot be established, the amortization of the prepayment is included as a deduction to net sales.</w:t>
      </w:r>
    </w:p>
    <w:p>
      <w:pPr>
        <w:spacing w:after="0" w:line="157"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The nature of the Company’s contracts gives rise to several types of variable consideration, including prospective and retrospective rebates. The Company accounts for its prospective and retrospective rebates using the expected value method, which estimates the net price to the customer based on the customer’s expected annual sales volume projections.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 Funding Support</w:t>
      </w:r>
    </w:p>
    <w:p>
      <w:pPr>
        <w:spacing w:after="0" w:line="181" w:lineRule="exact"/>
        <w:rPr>
          <w:sz w:val="20"/>
          <w:szCs w:val="20"/>
          <w:color w:val="auto"/>
        </w:rPr>
      </w:pPr>
    </w:p>
    <w:p>
      <w:pPr>
        <w:ind w:right="260"/>
        <w:spacing w:after="0" w:line="182" w:lineRule="exact"/>
        <w:rPr>
          <w:sz w:val="20"/>
          <w:szCs w:val="20"/>
          <w:color w:val="auto"/>
        </w:rPr>
      </w:pPr>
      <w:r>
        <w:rPr>
          <w:rFonts w:ascii="Times New Roman" w:cs="Times New Roman" w:eastAsia="Times New Roman" w:hAnsi="Times New Roman"/>
          <w:sz w:val="14"/>
          <w:szCs w:val="14"/>
          <w:color w:val="auto"/>
        </w:rPr>
        <w:t>The Company receives marketing funding support payments in cash from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Payments to the Company for marketing programs to promote bottle/can sales volume and fountain syrup sales volume are recognized as a reduction to cost of sales, primarily on a per unit basis, as the product is sold. Payments for periodic programs are recognized in the period during which they are earned.</w:t>
      </w:r>
    </w:p>
    <w:p>
      <w:pPr>
        <w:spacing w:after="0" w:line="178" w:lineRule="exact"/>
        <w:rPr>
          <w:sz w:val="20"/>
          <w:szCs w:val="20"/>
          <w:color w:val="auto"/>
        </w:rPr>
      </w:pPr>
    </w:p>
    <w:p>
      <w:pPr>
        <w:ind w:right="100"/>
        <w:spacing w:after="0" w:line="175" w:lineRule="exact"/>
        <w:rPr>
          <w:sz w:val="20"/>
          <w:szCs w:val="20"/>
          <w:color w:val="auto"/>
        </w:rPr>
      </w:pPr>
      <w:r>
        <w:rPr>
          <w:rFonts w:ascii="Times New Roman" w:cs="Times New Roman" w:eastAsia="Times New Roman" w:hAnsi="Times New Roman"/>
          <w:sz w:val="14"/>
          <w:szCs w:val="14"/>
          <w:color w:val="auto"/>
        </w:rPr>
        <w:t>Cash consideration received by a customer from a vendor is presumed to be a reduction of the price of the vendor’s products or services. As such, the cash received is accounted for as a reduction to cost of sales unless it is a specific reimbursement of costs or payments for services. Payments the Company receives from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for marketing funding support are classified as a reduction to cost of sales.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Derivative Instruments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is subject to the risk of increased costs arising from adverse changes in certain commodity prices. In the normal course of business, the Company manages this risk through a variety of strategies, including the use of commodity derivative instruments. The Company does not use commodity derivative instruments for trading or speculative purposes. These commodity derivative instruments are not designated as hedging instruments under GAAP and are used as “economic hedges” to manage certain commodity price risk. The Company uses several different financial institutions for commodity derivative instruments to minimize the concentration of credit risk. While the Company would be exposed to credit loss in the event of nonperformance by these counterparties, the Company does not anticipate nonperformance by these counterparties.</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Commodity derivative instruments held by the Company are marked to market on a monthly basis and recognized in earnings consistent with the expense classification of the underlying hedged item. The Company generally pays a fee for these commodity derivative instruments, which is amortized over the corresponding period of each commodity derivative instrument. Settlements of commodity derivative instruments are included in cash flows from operating activities in the consolidated statements of cash flows.</w:t>
      </w:r>
    </w:p>
    <w:p>
      <w:pPr>
        <w:spacing w:after="0" w:line="157"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All commodity derivative instruments are recorded at fair value as either assets or liabilities in the consolidated balance sheets. The Company has master agreements with the counterparties to its commodity derivative instruments that provide for net settlement of derivative transactions. Accordingly, the net amounts of derivative assets are recognized in either prepaid expenses and other current</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48" w:name="page49"/>
    <w:bookmarkEnd w:id="48"/>
    <w:p>
      <w:pPr>
        <w:ind w:right="320"/>
        <w:spacing w:after="0" w:line="287" w:lineRule="auto"/>
        <w:rPr>
          <w:sz w:val="20"/>
          <w:szCs w:val="20"/>
          <w:color w:val="auto"/>
        </w:rPr>
      </w:pPr>
      <w:r>
        <w:rPr>
          <w:rFonts w:ascii="Times New Roman" w:cs="Times New Roman" w:eastAsia="Times New Roman" w:hAnsi="Times New Roman"/>
          <w:sz w:val="14"/>
          <w:szCs w:val="14"/>
          <w:color w:val="auto"/>
        </w:rPr>
        <w:t>assets or other assets in the consolidated balance sheets and the net amounts of derivative liabilities are recognized in either other accrued liabilities or other liabilities in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Programs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uses various insurance structures to manage costs related to workers’ compensation, auto liability, medical and other insurable risks. These structures consist of retentions, deductibles, limits and a diverse group of insurers that serve to strategically finance, transfer and mitigate the financial impact of losses to the Company. Losses are accrued using assumptions and procedures followed in the insurance industry, then adjusted for company-specific history and expectations.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Inputs representing a substantial portion of the Company’s cost of sales include: (i) purchases of finished products, (ii) raw material costs, including aluminum cans, plastic bottles, carbon dioxide and sweetener, (iii) concentrate costs and (iv) manufacturing costs, including labor, overhead and warehouse costs. In addition, cost of sales includes shipping, handling and fuel costs related to the movement of finished products from manufacturing plants to distribution centers, amortization expense of distribution rights, distribution fees of certain products and marketing credits from brand companies.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Delivery and Administrative Expenses</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SD&amp;A expenses include the following: sales management labor costs, distribution costs resulting from transporting finished products from distribution centers to customer locations, distribution center overhead including depreciation expense, distribution center warehousing costs, delivery vehicles and cold drink equipment, point-of-sale expenses, advertising expenses, cold drink equipment repair costs, amortization of intangible assets and administrative support labor and operating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Shipping and Handling Costs</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Shipping and handling costs related to the movement of finished products from manufacturing plants to distribution centers are included in cost of sales. Shipping and handling costs related to the movement of finished products from distribution centers to customer locations, including distribution center warehousing costs, are included in SD&amp;A expenses and totaled $756.9 million in 2022, $674.3 million in 2021 and $622.1 million in 2020.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Compensation</w:t>
      </w:r>
    </w:p>
    <w:p>
      <w:pPr>
        <w:spacing w:after="0" w:line="202" w:lineRule="exact"/>
        <w:rPr>
          <w:sz w:val="20"/>
          <w:szCs w:val="20"/>
          <w:color w:val="auto"/>
        </w:rPr>
      </w:pPr>
    </w:p>
    <w:p>
      <w:pPr>
        <w:ind w:right="120"/>
        <w:spacing w:after="0" w:line="180" w:lineRule="exact"/>
        <w:rPr>
          <w:sz w:val="20"/>
          <w:szCs w:val="20"/>
          <w:color w:val="auto"/>
        </w:rPr>
      </w:pPr>
      <w:r>
        <w:rPr>
          <w:rFonts w:ascii="Times New Roman" w:cs="Times New Roman" w:eastAsia="Times New Roman" w:hAnsi="Times New Roman"/>
          <w:sz w:val="14"/>
          <w:szCs w:val="14"/>
          <w:color w:val="auto"/>
        </w:rPr>
        <w:t>The Company has a long-term performance equity plan (the “Long-Term Performance Equity Plan”) under which awards are earned and granted to Mr. Harrison based on the Company’s attainment during a performance period of performance measures specified by the Compensation Committee of the Company’s Board of Directors. Mr. Harrison may elect to have awards earned under the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Performance Equity Plan settled in cash and/or shares of the Company’s Class B Common Stock. See Note 2 for additional information on the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Performance Equity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and Class B Common Stock</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has two classes of common stock outstanding, Common Stock and Class B Common Stock. The Common Stock is traded on The Nasdaq Global Select Market under the symbol COKE. There is no established public trading market for the Class B Common Stock. Shares of Class B Common Stock are convertible on a share-for-share basis into shares of Common Stock at any time at the option of the holder.</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Each share of Common Stock is entitled to one vote per share and each share of Class B Common Stock is entitled to 20 votes per share at all meetings of the Company’s stockholders. Except as otherwise required by law, holders of the Common Stock and the Class B Common Stock vote together as a single class on all matters submitted to the Company’s stockholders, including the election of the Board of Directors. As a result, the holders of the Class B Common Stock control approximately 71% of the total voting power of the stockholders of the Company and control the election of the Board of Directors. In the event of liquidation, there is no preference between the two classes of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No cash dividend or dividend of property or stock other than stock of the Company, as specifically described in the Company’s Restated Certificate of Incorporation, as amended (the “Restated Certificate of Incorporation”), may be declared and paid on the Class B Common Stock unless an equal or greater dividend is declared and paid on the Common Stock. Under the Restated Certificate of Incorporation, the Board of Directors may declare dividends on the Common Stock without declaring equal or any dividends on the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9" w:name="page50"/>
    <w:bookmarkEnd w:id="49"/>
    <w:p>
      <w:pPr>
        <w:spacing w:after="0" w:line="287" w:lineRule="auto"/>
        <w:rPr>
          <w:sz w:val="20"/>
          <w:szCs w:val="20"/>
          <w:color w:val="auto"/>
        </w:rPr>
      </w:pPr>
      <w:r>
        <w:rPr>
          <w:rFonts w:ascii="Times New Roman" w:cs="Times New Roman" w:eastAsia="Times New Roman" w:hAnsi="Times New Roman"/>
          <w:sz w:val="14"/>
          <w:szCs w:val="14"/>
          <w:color w:val="auto"/>
        </w:rPr>
        <w:t>Class B Common Stock. Notwithstanding this provision, the Class B Common Stock has voting and conversion rights that allow the Class B Common Stock to participate equally on a per share basis with the Common Stock.</w:t>
      </w:r>
    </w:p>
    <w:p>
      <w:pPr>
        <w:spacing w:after="0" w:line="1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Board of Directors has declared, and the Company has paid, dividends on the Common Stock and the Class B Common Stock and each class of common stock has participated equally in all dividends declared by the Board of Directors and paid by the Company since 1994. During 2022, dividends of $4.50 per share were declared and dividends of $1.00 per share were paid on both the Common Stock and the Class B Common Stock. The remaining $3.50 per share of dividends declared but not yet paid as of December 31, 2022 were paid on February 10, 2023 to stockholders of record of the Common Stock and the Class B Common Stock as of the close of business on January 27, 2023. During 2021 and 2020, dividends of $1.00 per share were declared and paid on both the Common Stock and the Class B Common Stock. Total cash dividends paid were $9.4 million per year in 2022, 2021 and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Per Share</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applies the two-class method for calculating and presenting net income per share. The two-class method is an earnings allocation formula that determines earnings per share for each class of common stock according to dividends declared or accumulated and participation rights in undistributed earnings. Under this method:</w:t>
      </w:r>
    </w:p>
    <w:p>
      <w:pPr>
        <w:spacing w:after="0" w:line="145" w:lineRule="exact"/>
        <w:rPr>
          <w:sz w:val="20"/>
          <w:szCs w:val="20"/>
          <w:color w:val="auto"/>
        </w:rPr>
      </w:pPr>
    </w:p>
    <w:p>
      <w:pPr>
        <w:ind w:left="260" w:right="200" w:hanging="255"/>
        <w:spacing w:after="0" w:line="263" w:lineRule="auto"/>
        <w:tabs>
          <w:tab w:leader="none" w:pos="2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continuing operations (“net income”) is reduced by the amount of dividends declared in the current period for each class of stock and by the contractual amount of dividends that must be paid for the current period.</w:t>
      </w:r>
    </w:p>
    <w:p>
      <w:pPr>
        <w:ind w:left="260" w:right="120" w:hanging="255"/>
        <w:spacing w:after="0" w:line="253" w:lineRule="auto"/>
        <w:tabs>
          <w:tab w:leader="none" w:pos="2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earnings (“undistributed earnings”) are allocated to the Common Stock and the Class B Common Stock to the extent each security may share in earnings as if all the earnings for the period had been distributed. The total earnings allocated to each security is determined by adding together the amount allocated for dividends and the amount allocated for a participation feature.</w:t>
      </w:r>
    </w:p>
    <w:p>
      <w:pPr>
        <w:ind w:left="260" w:right="280" w:hanging="255"/>
        <w:spacing w:after="0" w:line="253" w:lineRule="auto"/>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earnings allocated to each security is then divided by the number of outstanding shares of the security to which the earnings are allocated to determine the earnings per share for the security.</w:t>
      </w: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per share data are presented for each class of common stock.</w:t>
      </w:r>
    </w:p>
    <w:p>
      <w:pPr>
        <w:spacing w:after="0" w:line="1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applying the two-class method, the Company determined undistributed earnings should be allocated equally on a per share basis between the Common Stock and the Class B Common Stock due to the aggregate participation rights of the Class B Common Stock (i.e., the voting and conversion rights) and the Company’s history of paying dividends equally on a per share basis on the Common Stock and the Class B Common Stock.</w:t>
      </w:r>
    </w:p>
    <w:p>
      <w:pPr>
        <w:spacing w:after="0" w:line="15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The Class B Common Stock conversion rights allow the Class B Common Stock to participate in dividends equally with the Common Stock. Class B Common Stock is convertible into Common Stock on a one-for-one per share basis at any time at the option of the holder. Accordingly, the holders of the Class B Common Stock can participate equally in any dividends declared on the Common Stock by exercising their conversion rights.</w:t>
      </w:r>
    </w:p>
    <w:p>
      <w:pPr>
        <w:spacing w:after="0" w:line="15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Basic net income per share excludes potential common shares that were dilutive and is computed by dividing net income available for common stockholders by the weighted average number of Common and Class B Common shares outstanding. Diluted net income per share for Common Stock and Class B Common Stock gives effect to all securities representing potential common shares that were dilutive and outstanding during the period. The Company does not have anti-dilutive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202"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color w:val="auto"/>
        </w:rPr>
        <w:t>In September 2022, the Financial Accounting Standards Board (the “FASB”) issued Accounting Standards Update (“ASU”) 2022-04, “Liabilities-Supplier Finance Programs,” which requires additional quantitative and qualitative disclosures related to a Company’s supplier finance programs to enhance the transparency of these programs. The new guidance is effective for fiscal years beginning after December 15, 2022, including interim periods within those fiscal years, except for the amendment on rollforward information, which is effective for fiscal years beginning after December 15, 2023. The Company evaluated the impact ASU 2022-04 will have on its consolidated financial statements and does not expect a material impact upon adoption in 2023.</w:t>
      </w:r>
    </w:p>
    <w:p>
      <w:pPr>
        <w:spacing w:after="0" w:line="160" w:lineRule="exact"/>
        <w:rPr>
          <w:sz w:val="20"/>
          <w:szCs w:val="20"/>
          <w:color w:val="auto"/>
        </w:rPr>
      </w:pPr>
    </w:p>
    <w:p>
      <w:pPr>
        <w:ind w:left="640" w:hanging="635"/>
        <w:spacing w:after="0"/>
        <w:tabs>
          <w:tab w:leader="none" w:pos="64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18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The Coca</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Cola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-42545</wp:posOffset>
            </wp:positionV>
            <wp:extent cx="55880" cy="3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80" w:lineRule="exact"/>
        <w:rPr>
          <w:sz w:val="20"/>
          <w:szCs w:val="20"/>
          <w:color w:val="auto"/>
        </w:rPr>
      </w:pPr>
    </w:p>
    <w:p>
      <w:pPr>
        <w:ind w:right="300"/>
        <w:spacing w:after="0" w:line="188" w:lineRule="exact"/>
        <w:rPr>
          <w:sz w:val="20"/>
          <w:szCs w:val="20"/>
          <w:color w:val="auto"/>
        </w:rPr>
      </w:pPr>
      <w:r>
        <w:rPr>
          <w:rFonts w:ascii="Times New Roman" w:cs="Times New Roman" w:eastAsia="Times New Roman" w:hAnsi="Times New Roman"/>
          <w:sz w:val="14"/>
          <w:szCs w:val="14"/>
          <w:color w:val="auto"/>
        </w:rPr>
        <w:t>The Company’s business consists primarily of the distribution, marketing and manufacture of nonalcoholic beverages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which is the sole owner of the formulas under which the primary components of its soft drink products, either concentrate or syrup, are manufactured.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50" w:name="page51"/>
    <w:bookmarkEnd w:id="50"/>
    <w:p>
      <w:pPr>
        <w:ind w:right="20"/>
        <w:spacing w:after="0" w:line="257" w:lineRule="auto"/>
        <w:rPr>
          <w:sz w:val="20"/>
          <w:szCs w:val="20"/>
          <w:color w:val="auto"/>
        </w:rPr>
      </w:pPr>
      <w:r>
        <w:rPr>
          <w:rFonts w:ascii="Times New Roman" w:cs="Times New Roman" w:eastAsia="Times New Roman" w:hAnsi="Times New Roman"/>
          <w:sz w:val="14"/>
          <w:szCs w:val="14"/>
          <w:color w:val="auto"/>
        </w:rPr>
        <w:t>On March 17, 2022, the Company entered into a stockholder conversion agreement (the “Stockholder Conversion Agreement”) with the JFH Family Limited Partnership—SW1, the Anne Lupton Carter Trust f/b/o Sue Anne H. Wells, the JFH Family Limited Partnership—DH1 and the Anne Lupton Carter Trust f/b/o Deborah S. Harrison (collectively, the “Converting Stockholders”), pursuant to which the Company and the Converting Stockholders agreed upon the process for converting an aggregate of 1,227,546 shares of the Company’s Class B Common Stock owned by the Converting Stockholders on a one share for one share basis into shares of the Company’s Common Stock, effective as of March 17, 2022 (the “Converted Shares”). In the Stockholder Conversion Agreement, the Company agreed to cause the Converted Shares to be registered for resale pursuant to the Company’s existing automatic shelf registration statement and the Converting Stockholders agreed to certain restrictions on their resale of the Converted Shares, including a trade volume limitation that prohibits the sale of more than 175,000 of the Converted Shares in the aggregate during any three-consecutive month period. On June 21, 2022, the Company filed a prospectus supplement with the SEC pursuant to the Company’s existing automatic shelf registration statement, registering the Converted Shares for resale by the Converting Stockholders. The Company will not receive any proceeds from any resale of the Converted Shares by the Converting Stockholders.</w:t>
      </w:r>
    </w:p>
    <w:p>
      <w:pPr>
        <w:spacing w:after="0" w:line="17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As of December 31, 2022, J. Frank Harrison, III, Chairman of the Board of Directors and Chief Executive Officer of the Company, controlled 1,004,394 shares of the Company’s Class B Common Stock, which represented approximately 71% of the total voting power of the Company’s outstanding Common Stock and Class B Common Stock on a consolidated basis.</w:t>
      </w:r>
    </w:p>
    <w:p>
      <w:pPr>
        <w:spacing w:after="0" w:line="124" w:lineRule="exact"/>
        <w:rPr>
          <w:sz w:val="20"/>
          <w:szCs w:val="20"/>
          <w:color w:val="auto"/>
        </w:rPr>
      </w:pPr>
    </w:p>
    <w:p>
      <w:pPr>
        <w:ind w:right="100"/>
        <w:spacing w:after="0" w:line="180" w:lineRule="exact"/>
        <w:rPr>
          <w:sz w:val="20"/>
          <w:szCs w:val="20"/>
          <w:color w:val="auto"/>
        </w:rPr>
      </w:pPr>
      <w:r>
        <w:rPr>
          <w:rFonts w:ascii="Times New Roman" w:cs="Times New Roman" w:eastAsia="Times New Roman" w:hAnsi="Times New Roman"/>
          <w:sz w:val="14"/>
          <w:szCs w:val="14"/>
          <w:color w:val="auto"/>
        </w:rPr>
        <w:t>As of December 31, 2022,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owned shares of the Company’s Common Stock representing approximately 9% of the total voting power of the Company’s outstanding Common Stock and Class B Common Stock on a consolidated basis. The number of shares of the Company’s Common Stock currently held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gives it the right to have a designee proposed by the Company for nomination to the Company’s Board of Directors in the Company’s annual proxy statement. J. Frank Harrison, III and the trustees of certain trusts established for the benefit of certain relatives of the late J. Frank Harrison, Jr. have agreed to vote the shares of the Company’s Common Stock and Class B Common Stock that they control in favor of such designee.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does not own any shares of the Company’s Class B Common Stock.</w:t>
      </w:r>
    </w:p>
    <w:p>
      <w:pPr>
        <w:spacing w:after="0" w:line="14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The following table summarizes the significant cash transactions between the Company and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Payments made by the Company to The Coca-Cola Company</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1,867,727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1,558,784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1,444,492</w:t>
            </w:r>
          </w:p>
        </w:tc>
      </w:tr>
      <w:tr>
        <w:trPr>
          <w:trHeight w:val="18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made by The Coca-Cola Company to the Company</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128,749</w:t>
            </w:r>
          </w:p>
        </w:tc>
      </w:tr>
    </w:tbl>
    <w:p>
      <w:pPr>
        <w:spacing w:after="0" w:line="226" w:lineRule="exact"/>
        <w:rPr>
          <w:sz w:val="20"/>
          <w:szCs w:val="20"/>
          <w:color w:val="auto"/>
        </w:rPr>
      </w:pPr>
    </w:p>
    <w:p>
      <w:pPr>
        <w:ind w:left="260" w:right="180" w:hanging="255"/>
        <w:spacing w:after="0" w:line="188" w:lineRule="exact"/>
        <w:tabs>
          <w:tab w:leader="none" w:pos="25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excludes acquisition related sub-bottling payments made by the Company to Coca-Cola Refreshments USA, Inc., a wholly owned subsidiary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but includes the purchase price of certain additional BODYARMOR distribution rights, each as discussed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1, 2022, the Company entered into an agreement to acquire $30.1 million of additional BODYARMOR distribution rights with an estimated useful life of 40 years.</w:t>
      </w:r>
    </w:p>
    <w:p>
      <w:pPr>
        <w:spacing w:after="0" w:line="179" w:lineRule="exact"/>
        <w:rPr>
          <w:sz w:val="20"/>
          <w:szCs w:val="20"/>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More than 80% of the payments made by the Company to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were for concentrate, syrup, sweetener and other finished goods products, which were recorded in cost of sales in the consolidated statements of operations and represent the primary components of the soft drink products the Company manufactures and distributes. Payments made by the Company to</w:t>
      </w:r>
    </w:p>
    <w:p>
      <w:pPr>
        <w:spacing w:after="0" w:line="1" w:lineRule="exact"/>
        <w:rPr>
          <w:sz w:val="20"/>
          <w:szCs w:val="20"/>
          <w:color w:val="auto"/>
        </w:rPr>
      </w:pPr>
    </w:p>
    <w:p>
      <w:pPr>
        <w:ind w:right="300"/>
        <w:spacing w:after="0" w:line="171" w:lineRule="exact"/>
        <w:rPr>
          <w:sz w:val="20"/>
          <w:szCs w:val="20"/>
          <w:color w:val="auto"/>
        </w:rPr>
      </w:pPr>
      <w:r>
        <w:rPr>
          <w:rFonts w:ascii="Times New Roman" w:cs="Times New Roman" w:eastAsia="Times New Roman" w:hAnsi="Times New Roman"/>
          <w:sz w:val="14"/>
          <w:szCs w:val="14"/>
          <w:color w:val="auto"/>
        </w:rPr>
        <w:t>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also included payments for marketing programs associated with large, national customers managed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on behalf of the Company, which were recorded as a reduction to net sales in the consolidated statements of operations. Other payments made by the Company to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related to cold drink equipment parts, fees associated with the rights to distribute certain brands and other customary items.</w:t>
      </w:r>
    </w:p>
    <w:p>
      <w:pPr>
        <w:spacing w:after="0" w:line="157" w:lineRule="exact"/>
        <w:rPr>
          <w:sz w:val="20"/>
          <w:szCs w:val="20"/>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Payments made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to the Company included annual funding in connection with the Company’s agreement to support certain business initiatives developed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funding associated with the delivery of post-mix products to various customers, both of which were recorded as a reduction to cost of sales in the consolidated statements of operations. Payments made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to the Company also included transportation services and fountain product delivery and equipment repair services performed by the Company on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Company’s equipment, all of which were recorded in net sales in the consolidated statements of operations.</w:t>
      </w:r>
    </w:p>
    <w:p>
      <w:pPr>
        <w:spacing w:after="0" w:line="14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Coca</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Cola Refreshments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-42545</wp:posOffset>
            </wp:positionV>
            <wp:extent cx="55880" cy="36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201" w:lineRule="exact"/>
        <w:rPr>
          <w:sz w:val="20"/>
          <w:szCs w:val="20"/>
          <w:color w:val="auto"/>
        </w:rPr>
      </w:pPr>
    </w:p>
    <w:p>
      <w:pPr>
        <w:ind w:right="100"/>
        <w:spacing w:after="0" w:line="185" w:lineRule="exact"/>
        <w:rPr>
          <w:sz w:val="20"/>
          <w:szCs w:val="20"/>
          <w:color w:val="auto"/>
        </w:rPr>
      </w:pPr>
      <w:r>
        <w:rPr>
          <w:rFonts w:ascii="Times New Roman" w:cs="Times New Roman" w:eastAsia="Times New Roman" w:hAnsi="Times New Roman"/>
          <w:sz w:val="14"/>
          <w:szCs w:val="14"/>
          <w:color w:val="auto"/>
        </w:rPr>
        <w:t>The CBA requires the Company to make quarterly acquisition related sub-bottling payments to CCR on a continuing basis in exchange for the grant of exclusive rights to distribute, promote, market and sell the authorized brands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related products in certain distribution territories the Company acquired from CCR. These acquisition related sub-bottling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1" w:name="page52"/>
    <w:bookmarkEnd w:id="51"/>
    <w:p>
      <w:pPr>
        <w:ind w:right="40"/>
        <w:spacing w:after="0" w:line="287" w:lineRule="auto"/>
        <w:rPr>
          <w:sz w:val="20"/>
          <w:szCs w:val="20"/>
          <w:color w:val="auto"/>
        </w:rPr>
      </w:pPr>
      <w:r>
        <w:rPr>
          <w:rFonts w:ascii="Times New Roman" w:cs="Times New Roman" w:eastAsia="Times New Roman" w:hAnsi="Times New Roman"/>
          <w:sz w:val="14"/>
          <w:szCs w:val="14"/>
          <w:color w:val="auto"/>
        </w:rPr>
        <w:t>payments are based on gross profit derived from the Company’s sales of certain beverages and beverage products that are sold under the same trademarks that identify a covered beverage, a beverage product or certain cross-licensed brands applicable to the System Transformation.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Acquisition related sub-bottling payments to CCR were $36.5 million in 2022, $39.1 million in 2021 and $43.4 million in 2020. The following table summarizes the liability recorded by the</w:t>
      </w:r>
    </w:p>
    <w:p>
      <w:pPr>
        <w:spacing w:after="0" w:line="2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Company to reflect the estimated fair value of contingent consideration related to future expected acquisition related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bottling payments to CCR: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portion of acquisition related contingent consideration</w:t>
            </w:r>
          </w:p>
        </w:tc>
        <w:tc>
          <w:tcPr>
            <w:tcW w:w="1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40,060</w:t>
            </w:r>
          </w:p>
        </w:tc>
        <w:tc>
          <w:tcPr>
            <w:tcW w:w="10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51,518</w:t>
            </w:r>
          </w:p>
        </w:tc>
      </w:tr>
      <w:tr>
        <w:trPr>
          <w:trHeight w:val="180"/>
        </w:trPr>
        <w:tc>
          <w:tcPr>
            <w:tcW w:w="744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Noncurrent portion of acquisition related contingent consideration</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501,431</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490,587</w:t>
            </w:r>
          </w:p>
        </w:tc>
      </w:tr>
      <w:tr>
        <w:trPr>
          <w:trHeight w:val="196"/>
        </w:trPr>
        <w:tc>
          <w:tcPr>
            <w:tcW w:w="7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acquisition related contingent consideration</w:t>
            </w:r>
          </w:p>
        </w:tc>
        <w:tc>
          <w:tcPr>
            <w:tcW w:w="22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541,491</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542,105</w:t>
            </w:r>
          </w:p>
        </w:tc>
      </w:tr>
      <w:tr>
        <w:trPr>
          <w:trHeight w:val="20"/>
        </w:trPr>
        <w:tc>
          <w:tcPr>
            <w:tcW w:w="7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Southeastern Container (“Southeastern”)</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is a shareholder of Southeastern, a plastic bottle manufacturing cooperative. The Company accounts for Southeastern as an equity method investment. The Company’s investment in Southeastern, which was classified as other assets in the consolidated balance sheets, was $21.2 million as of December 31, 2022 and $21.7 million as of December 31,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South Atlantic Canners, Inc. (“SAC”)</w:t>
      </w:r>
    </w:p>
    <w:p>
      <w:pPr>
        <w:spacing w:after="0" w:line="181" w:lineRule="exact"/>
        <w:rPr>
          <w:sz w:val="20"/>
          <w:szCs w:val="20"/>
          <w:color w:val="auto"/>
        </w:rPr>
      </w:pPr>
    </w:p>
    <w:p>
      <w:pPr>
        <w:jc w:val="both"/>
        <w:ind w:right="120"/>
        <w:spacing w:after="0" w:line="182" w:lineRule="exact"/>
        <w:rPr>
          <w:sz w:val="20"/>
          <w:szCs w:val="20"/>
          <w:color w:val="auto"/>
        </w:rPr>
      </w:pPr>
      <w:r>
        <w:rPr>
          <w:rFonts w:ascii="Times New Roman" w:cs="Times New Roman" w:eastAsia="Times New Roman" w:hAnsi="Times New Roman"/>
          <w:sz w:val="14"/>
          <w:szCs w:val="14"/>
          <w:color w:val="auto"/>
        </w:rPr>
        <w:t>The Company is a shareholder of SAC, a manufacturing cooperative located in Bishopville, South Carolina. All of SAC’s shareholders are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and each has equal voting rights. The Company accounts for SAC as an equity method investment. The Company’s investment in SAC, which was classified as other assets in the consolidated balance sheets, was $8.2 million as of both December 31, 2022 and December 31, 2021. The Company also guarantees a portion of SAC’s debt; see Note 19 for additional information.</w:t>
      </w:r>
    </w:p>
    <w:p>
      <w:pPr>
        <w:spacing w:after="0" w:line="17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Company receives a fee for managing the day-to-day operations of SAC pursuant to a management agreement. Proceeds from management fees received from SAC, which were recorded as a reduction to cost of sales in the consolidated statements of operations, were $8.9 million in 2022, $8.7 million in 2021 and $9.0 million in 2020.</w:t>
      </w:r>
    </w:p>
    <w:p>
      <w:pPr>
        <w:spacing w:after="0" w:line="12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Coca</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Cola Bottlers’ Sales &amp; Services Company LLC (“CCBSS”)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-42545</wp:posOffset>
            </wp:positionV>
            <wp:extent cx="55880" cy="36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80" w:lineRule="exact"/>
        <w:rPr>
          <w:sz w:val="20"/>
          <w:szCs w:val="20"/>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Along with all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in the United States and Canada, the Company is a member of CCBSS, a company formed to provide certain procurement and other services with the intention of enhancing the efficiency and competitiveness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bottling system. The Company accounts for CCBSS as an equity method investment and its investment in CCBSS is not material.</w:t>
      </w:r>
    </w:p>
    <w:p>
      <w:pPr>
        <w:spacing w:after="0" w:line="178"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CCBSS negotiates the procurement for the majority of the Company’s raw materials, excluding concentrate, and the Company receives a rebate from CCBSS for the purchase of these raw materials. The Company had rebates due from CCBSS of $25.7 million on December 31, 2022 and $7.9 million on December 31, 2021, which were classified as accounts receivable, other in the consolidated balance sheets. Changes in rebates receivable relate to volatility in raw material prices and the timing of cash receipts of rebates.</w:t>
      </w:r>
    </w:p>
    <w:p>
      <w:pPr>
        <w:spacing w:after="0" w:line="15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 addition, the Company pays an administrative fee to CCBSS for its services. The Company incurred administrative fees to CCBSS of $2.4 million in 2022, $2.9 million in 2021 and $2.5 million in 2020, which were classified as SD&amp;A expenses in the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CONA Services LLC (“CONA”)</w:t>
      </w:r>
    </w:p>
    <w:p>
      <w:pPr>
        <w:spacing w:after="0" w:line="181" w:lineRule="exact"/>
        <w:rPr>
          <w:sz w:val="20"/>
          <w:szCs w:val="20"/>
          <w:color w:val="auto"/>
        </w:rPr>
      </w:pPr>
    </w:p>
    <w:p>
      <w:pPr>
        <w:ind w:right="200"/>
        <w:spacing w:after="0" w:line="182" w:lineRule="exact"/>
        <w:rPr>
          <w:sz w:val="20"/>
          <w:szCs w:val="20"/>
          <w:color w:val="auto"/>
        </w:rPr>
      </w:pPr>
      <w:r>
        <w:rPr>
          <w:rFonts w:ascii="Times New Roman" w:cs="Times New Roman" w:eastAsia="Times New Roman" w:hAnsi="Times New Roman"/>
          <w:sz w:val="14"/>
          <w:szCs w:val="14"/>
          <w:color w:val="auto"/>
        </w:rPr>
        <w:t>Along with certain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the Company is a member of CONA, an entity formed to provide business process and information technology services to its members. The Company accounts for CONA as an equity method investment. The Company’s investment in CONA, which was classified as other assets in the consolidated balance sheets, was $16.9 million as of December 31, 2022 and $13.7 million as of December 31, 2021.</w:t>
      </w:r>
    </w:p>
    <w:p>
      <w:pPr>
        <w:spacing w:after="0" w:line="178" w:lineRule="exact"/>
        <w:rPr>
          <w:sz w:val="20"/>
          <w:szCs w:val="20"/>
          <w:color w:val="auto"/>
        </w:rPr>
      </w:pPr>
    </w:p>
    <w:p>
      <w:pPr>
        <w:ind w:right="220"/>
        <w:spacing w:after="0" w:line="175" w:lineRule="exact"/>
        <w:rPr>
          <w:sz w:val="20"/>
          <w:szCs w:val="20"/>
          <w:color w:val="auto"/>
        </w:rPr>
      </w:pPr>
      <w:r>
        <w:rPr>
          <w:rFonts w:ascii="Times New Roman" w:cs="Times New Roman" w:eastAsia="Times New Roman" w:hAnsi="Times New Roman"/>
          <w:sz w:val="14"/>
          <w:szCs w:val="14"/>
          <w:color w:val="auto"/>
        </w:rPr>
        <w:t>Pursuant to an amended and restated master services agreement with CONA, the Company is authorized to use the Coke One North America system (the “CONA System”), a uniform information technology system developed to promote operational efficiency and uniformity among North American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In exchange for the Company’s rights to use the CONA System and receive CONA-related services, it is charged service fees by CONA. The Company incurred service fees to CONA of $25.7 million in 2022, $24.1 million in 2021 and $22.0 million in 2020.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Leases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leases its headquarters office facility and an adjacent office facility in Charlotte, North Carolina from Beacon Investment Corporation, of which J. Frank Harrison, III is the majority stockholder and Morgan H. Everett, Vice Chair of the Company’s Board of Directors, is a minority stockholder. The annual base rent the Company is obligated to pay under this lease is subject to an adjustment for an inflation factor and the lease expires on December 31, 2029. The principal balance outstanding under this lease was $25.5 million on December 31, 2022 and $28.2 million on December 31, 2021.</w:t>
      </w:r>
    </w:p>
    <w:p>
      <w:pPr>
        <w:spacing w:after="0" w:line="16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Company previously leased the Snyder Production Center and an adjacent sales facility in Charlotte, North Carolina (together, the “Snyder Production Center”) from Harrison Limited Partnership One (“HLP”), which is directly and indirectly owned by trusts of which J. Frank Harrison, III and Sue Anne H. Wells, a former director of the Company, are trustees and beneficiaries and of which Morgan H. Everett is a permissible, discretionary beneficiary. On March 17, 2022, CCBCC Operations, LLC (“Operations”), a wholly owned subsidiary of the Company, entered into a definitive purchase and sale agreement with HLP, pursuant to which Operations purchased the Snyder Production Center from HLP on such date for a purchase price of $60.0 million. This lease, which was scheduled to expire on December 31, 2035, was terminated in connection with the purchase of the Snyder Production Center by Operations. There was no principal balance outstanding under this lease on December 31, 2022 and there was a principal balance outstanding under this lease of $59.1 million on December 31,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rental payments for these leases related to 2022, 2021 and 2020 is as follows: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3"/>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71"/>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headquarters</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r>
      <w:tr>
        <w:trPr>
          <w:trHeight w:val="18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Snyder Production Center</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Performance Equity Plan</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Long-Term Performance Equity Plan compensates J. Frank Harrison, III based on the Company’s performance. Awards granted to Mr. Harrison under the Long-Term Performance Equity Plan are earned based on the Company’s attainment during a performance period of certain performance measures, each as specified by the Compensation Committee of the Company’s Board of Directors. These awards may be settled in cash and/or shares of the Company’s Class B Common Stock, based on the average of the closing prices of shares of the Company’s Common Stock during the last 20 trading days of the performance period. Compensation expense for the Long-Term Performance Equity Plan, which was included in SD&amp;A expenses in the consolidated statements of operations, was $10.1 million in 2022, $9.8 million in 2021 and $9.2 million in 2020.</w:t>
      </w:r>
    </w:p>
    <w:p>
      <w:pPr>
        <w:spacing w:after="0" w:line="162" w:lineRule="exact"/>
        <w:rPr>
          <w:sz w:val="20"/>
          <w:szCs w:val="20"/>
          <w:color w:val="auto"/>
        </w:rPr>
      </w:pPr>
    </w:p>
    <w:p>
      <w:pPr>
        <w:ind w:left="640" w:hanging="635"/>
        <w:spacing w:after="0"/>
        <w:tabs>
          <w:tab w:leader="none" w:pos="640"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Recognition</w:t>
      </w:r>
    </w:p>
    <w:p>
      <w:pPr>
        <w:spacing w:after="0" w:line="202" w:lineRule="exact"/>
        <w:rPr>
          <w:sz w:val="20"/>
          <w:szCs w:val="20"/>
          <w:color w:val="auto"/>
        </w:rPr>
      </w:pPr>
    </w:p>
    <w:p>
      <w:pPr>
        <w:ind w:right="300"/>
        <w:spacing w:after="0" w:line="174" w:lineRule="exact"/>
        <w:rPr>
          <w:sz w:val="20"/>
          <w:szCs w:val="20"/>
          <w:color w:val="auto"/>
        </w:rPr>
      </w:pPr>
      <w:r>
        <w:rPr>
          <w:rFonts w:ascii="Times New Roman" w:cs="Times New Roman" w:eastAsia="Times New Roman" w:hAnsi="Times New Roman"/>
          <w:sz w:val="14"/>
          <w:szCs w:val="14"/>
          <w:color w:val="auto"/>
        </w:rPr>
        <w:t>The Company’s sales are divided into two main categories: (i) bottle/can sales and (ii) other sales. Bottle/can sales include products packaged primarily in plastic bottles and aluminum cans. Bottle/can net pricing is based on the invoice price charged to customers reduced by any promotional allowances. Bottle/can net pricing per unit is impacted by the price charged per package, the sales volume generated for each package and the channels in which those packages are sold. Other sales include sales to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post-mix sales, transportation revenue and equipment maintenance revenue.</w:t>
      </w:r>
    </w:p>
    <w:p>
      <w:pPr>
        <w:spacing w:after="0" w:line="178" w:lineRule="exact"/>
        <w:rPr>
          <w:sz w:val="20"/>
          <w:szCs w:val="20"/>
          <w:color w:val="auto"/>
        </w:rPr>
      </w:pPr>
    </w:p>
    <w:p>
      <w:pPr>
        <w:jc w:val="both"/>
        <w:ind w:right="140"/>
        <w:spacing w:after="0" w:line="173" w:lineRule="exact"/>
        <w:rPr>
          <w:sz w:val="20"/>
          <w:szCs w:val="20"/>
          <w:color w:val="auto"/>
        </w:rPr>
      </w:pPr>
      <w:r>
        <w:rPr>
          <w:rFonts w:ascii="Times New Roman" w:cs="Times New Roman" w:eastAsia="Times New Roman" w:hAnsi="Times New Roman"/>
          <w:sz w:val="14"/>
          <w:szCs w:val="14"/>
          <w:color w:val="auto"/>
        </w:rPr>
        <w:t>The Company’s contracts are derived from customer orders, including customer sales incentives, generated through an order processing and replenishment model. Generally, the Company’s service contracts and contracts related to the delivery of specifically identifiable products have a single performance obligation. Revenues do not include sales or other taxes collected from customers. The Company has defined its performance obligations for its contracts as either at a point in time or over time. Bottle/can sales, sales to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and post-mix sales are recognized when control transfers to a customer, which is generally upon delivery and is considered a single point in time. Point in time sales accounted for approximately 97% of the Company’s net sales in each of 2022, 2021 and 2020.</w:t>
      </w:r>
    </w:p>
    <w:p>
      <w:pPr>
        <w:spacing w:after="0" w:line="17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Other sales, which include revenue for service fees related to the repair of cold drink equipment and delivery fees for freight hauling and brokerage services, are recognized over time. Revenues related to cold drink equipment repair are recognized as the respective services are completed using a cost-to-cost input method. Repair services are generally completed in less than one day but can extend up to one month. Revenues related to freight hauling and brokerage services are recognized as the delivery occurs using a miles driven output method. Generally, delivery occurs and freight charges are recognized in the same day. Over time sales orders open at the end of a financial period are not material to the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The following table represents a disaggregation of revenue from contracts with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Point in time net sales:</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Nonalcoholic Beverages - point in time</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6,034,914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5,389,444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4,842,934</w:t>
            </w: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point in time net sales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6,034,914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5,389,444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4,842,934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Over time net sales: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Nonalcoholic Beverages - over time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43,225</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36,236</w:t>
            </w: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 over time</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119,600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128,187</w:t>
            </w: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over time net sales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166,043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173,270</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164,423</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31"/>
        </w:trPr>
        <w:tc>
          <w:tcPr>
            <w:tcW w:w="6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spacing w:after="0"/>
              <w:rPr>
                <w:sz w:val="11"/>
                <w:szCs w:val="1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6,200,957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5,562,714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5,007,357</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Company’s allowance for doubtful accounts in the consolidated balance sheets includes a reserve for customer returns and an allowance for credit losses. The Company experiences customer returns primarily as a result of damaged or out-of-date product. At any given time, the Company estimates less than 1% of bottle/can sales and post-mix sales could be at risk for return by customers. Returned product is recognized as a reduction to net sales. The Company’s reserve for customer returns was $3.0 million as of both December 31, 2022 and December 31, 2021.</w:t>
      </w:r>
    </w:p>
    <w:p>
      <w:pPr>
        <w:spacing w:after="0" w:line="157"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4"/>
          <w:szCs w:val="14"/>
          <w:color w:val="auto"/>
        </w:rPr>
        <w:t>The Company estimates an allowance for credit losses, based on historic days’ sales outstanding trends, aged customer balances, previously written-off balances and expected recoveries up to balances previously written off, in order to present the net amount expected to be collected. Accounts receivable balances are written off when determined uncollectible and are recognized as a reduction to the allowance for credit losses. Following is a summary of activity for the allowance for credit losses during 2022, 2021 and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 - allowance for credit losses</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18,070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10,232</w:t>
            </w: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Additions charged to expenses and as a reduction to net sales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14,265</w:t>
            </w: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(6,427)</w:t>
            </w: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 allowance for credit losses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13,119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14,336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18,070</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40" w:hanging="635"/>
        <w:spacing w:after="0"/>
        <w:tabs>
          <w:tab w:leader="none" w:pos="64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evaluates segment reporting in accordance with FASB Accounting Standards Codification Topic 280, Segment Reporting, each reporting period, including evaluating the reporting package reviewed by the Chief Operating Decision Maker (the “CODM”). The Company has concluded the Chief Executive Officer, the Chief Operating Officer and the Chief Financial Officer, as a group, represent the CODM. Asset information is not provided to the CODM.</w:t>
      </w:r>
    </w:p>
    <w:p>
      <w:pPr>
        <w:spacing w:after="0" w:line="1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believes three operating segments exist. Nonalcoholic Beverages represents the vast majority of the Company’s consolidated net sales and income from operations. The additional two operating segments do not meet the quantitative thresholds for separate reporting, either individually or in the aggregate, and, therefore, have been combined into “All Other.”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segment results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Nonalcoholic Beverages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6,081,357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5,432,669</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4,879,170</w:t>
            </w: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366,855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332,728</w:t>
            </w: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8"/>
                <w:szCs w:val="8"/>
                <w:color w:val="auto"/>
              </w:rPr>
              <w:t>(1)</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(279,759)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(236,810)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(204,541)</w:t>
            </w: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net sales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6,200,957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5,562,714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5,007,357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right="120" w:hanging="255"/>
        <w:spacing w:after="0" w:line="230" w:lineRule="auto"/>
        <w:tabs>
          <w:tab w:leader="none" w:pos="25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entire net sales elimination represents net sales from the All Other segment to the Nonalcoholic Beverages segment. Sales between these segments are recognized at either fair market value or cost depending on the nature of the transaction.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Nonalcoholic Beverages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639,136</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456,713</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324,716</w:t>
            </w: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(11,338)</w:t>
            </w: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income from operations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641,047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439,171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313,378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31"/>
        </w:trPr>
        <w:tc>
          <w:tcPr>
            <w:tcW w:w="6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Nonalcoholic Beverages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168,206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167,355</w:t>
            </w: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11,662</w:t>
            </w: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depreciation and amortization</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171,590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180,565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179,017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640" w:hanging="635"/>
        <w:spacing w:after="0"/>
        <w:tabs>
          <w:tab w:leader="none" w:pos="64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Net Income Per Share</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computation of basic net income per share and diluted net income per share under the two-class method. See Note 1 for additional information related to net income per share.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for basic and diluted net income per Common Stock and Class B Common Stock share:</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Coca-Cola Consolidated, Inc.</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430,158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189,580</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172,493</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dividends: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B Common Stock</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undistributed earnings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420,784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180,206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163,119</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undistributed earnings – basic</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364,359</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137,293</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124,275</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undistributed earnings – basic</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38,844</w:t>
            </w: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undistributed earnings – basic</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420,784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180,206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163,119</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undistributed earnings – diluted</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363,158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136,899</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123,563</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undistributed earnings – diluted</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57,626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39,556</w:t>
            </w: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undistributed earnings – diluted</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420,784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180,206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163,119</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for basic net income per Common Stock share: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0" w:type="dxa"/>
            <w:vAlign w:val="bottom"/>
          </w:tcPr>
          <w:p>
            <w:pPr>
              <w:spacing w:after="0"/>
              <w:rPr>
                <w:sz w:val="1"/>
                <w:szCs w:val="1"/>
                <w:color w:val="auto"/>
              </w:rPr>
            </w:pP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undistributed earnings – basic</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364,359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137,293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124,275</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for basic net income per Common Stock share</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372,421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144,434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131,416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for basic net income per Class B Common Stock share: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on Class B Common Stock</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undistributed earnings – basic</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38,844</w:t>
            </w: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for basic net income per Class B Common Stock share</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57,737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45,146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41,077</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for diluted net income per Common Stock share: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on Class B Common Stock assumed converted to Common Stock</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undistributed earnings – diluted</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420,784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180,206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163,119</w:t>
            </w: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for diluted net income per Common Stock share</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430,158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189,580</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172,493</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for diluted net income per Class B Common Stock share: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Class B Common Stock</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0" w:type="dxa"/>
            <w:vAlign w:val="bottom"/>
          </w:tcPr>
          <w:p>
            <w:pPr>
              <w:spacing w:after="0"/>
              <w:rPr>
                <w:sz w:val="1"/>
                <w:szCs w:val="1"/>
                <w:color w:val="auto"/>
              </w:rPr>
            </w:pP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undistributed earnings – diluted</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57,626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43,307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39,556</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for diluted net income per Class B Common Stock share</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58,938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45,540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41,789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 for basic net income per Common Stock and Class B Common Stock share:</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weighted average shares outstanding – basic</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w:t>
            </w: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weighted average shares outstanding – basic</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r>
      <w:tr>
        <w:trPr>
          <w:trHeight w:val="170"/>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 for diluted net income per Common Stock and Class B Common Stock share: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38"/>
        </w:trPr>
        <w:tc>
          <w:tcPr>
            <w:tcW w:w="67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Common Stock weighted average shares outstanding – diluted (assumes conversion of Class B Common Stock to</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9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9,427</w:t>
            </w:r>
          </w:p>
        </w:tc>
      </w:tr>
      <w:tr>
        <w:trPr>
          <w:trHeight w:val="181"/>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weighted average shares outstanding – diluted</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w:t>
            </w:r>
          </w:p>
        </w:tc>
      </w:tr>
      <w:tr>
        <w:trPr>
          <w:trHeight w:val="170"/>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net income per share: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net income per share: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 TO TABLE</w:t>
      </w:r>
    </w:p>
    <w:p>
      <w:pPr>
        <w:spacing w:after="0" w:line="200" w:lineRule="exact"/>
        <w:rPr>
          <w:sz w:val="20"/>
          <w:szCs w:val="20"/>
          <w:color w:val="auto"/>
        </w:rPr>
      </w:pPr>
    </w:p>
    <w:p>
      <w:pPr>
        <w:ind w:left="260" w:right="80" w:hanging="255"/>
        <w:spacing w:after="0" w:line="230" w:lineRule="auto"/>
        <w:tabs>
          <w:tab w:leader="none" w:pos="25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purposes of the diluted net income per share computation for Common Stock, all shares of Class B Common Stock are assumed to be converted; therefore, 100% of undistributed earnings is allocated to Common Stock.</w:t>
      </w:r>
    </w:p>
    <w:p>
      <w:pPr>
        <w:spacing w:after="0" w:line="1" w:lineRule="exact"/>
        <w:rPr>
          <w:rFonts w:ascii="Times New Roman" w:cs="Times New Roman" w:eastAsia="Times New Roman" w:hAnsi="Times New Roman"/>
          <w:sz w:val="18"/>
          <w:szCs w:val="18"/>
          <w:color w:val="auto"/>
          <w:vertAlign w:val="superscript"/>
        </w:rPr>
      </w:pPr>
    </w:p>
    <w:p>
      <w:pPr>
        <w:ind w:left="260" w:right="60" w:hanging="255"/>
        <w:spacing w:after="0" w:line="221" w:lineRule="auto"/>
        <w:tabs>
          <w:tab w:leader="none" w:pos="25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purposes of the diluted net income per share computation for Class B Common Stock, weighted average shares of Class B Common Stock are assumed to be outstanding for the entire period and not converted.</w:t>
      </w:r>
    </w:p>
    <w:p>
      <w:pPr>
        <w:ind w:left="260" w:right="80" w:hanging="255"/>
        <w:spacing w:after="0" w:line="236" w:lineRule="auto"/>
        <w:tabs>
          <w:tab w:leader="none" w:pos="25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periods presented during which the Company has net income, the denominator for diluted net income per share for Common Stock and Class B Common Stock includes the dilutive effect of shares relative to the Long-Term Performance Equity Plan. For periods presented during which the Company has net loss, the unvested performance units granted pursuant to the Long-Term Performance Equity Plan are excluded from the computation of diluted net loss per share, as the effect would have been anti-dilutive. See Note 2 for additional information on the Long-Term Performance Equity Plan.</w:t>
      </w:r>
    </w:p>
    <w:p>
      <w:pPr>
        <w:ind w:left="260" w:right="140" w:hanging="255"/>
        <w:spacing w:after="0" w:line="221" w:lineRule="auto"/>
        <w:tabs>
          <w:tab w:leader="none" w:pos="25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Long-Term Performance Equity Plan awards may be settled in cash and/or shares of the Company’s Class B Common Stock. Once an election has been made to settle an award in cash, the dilutive effect of shares relative to such award is prospectively removed from the denominator in the computation of diluted net income per share.</w:t>
      </w:r>
    </w:p>
    <w:p>
      <w:pPr>
        <w:ind w:left="240" w:hanging="235"/>
        <w:spacing w:after="0" w:line="196" w:lineRule="auto"/>
        <w:tabs>
          <w:tab w:leader="none" w:pos="24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did not have anti-dilutive shares for any periods presented.</w:t>
      </w:r>
    </w:p>
    <w:p>
      <w:pPr>
        <w:spacing w:after="0" w:line="2" w:lineRule="exact"/>
        <w:rPr>
          <w:rFonts w:ascii="Times New Roman" w:cs="Times New Roman" w:eastAsia="Times New Roman" w:hAnsi="Times New Roman"/>
          <w:sz w:val="18"/>
          <w:szCs w:val="18"/>
          <w:color w:val="auto"/>
          <w:vertAlign w:val="superscript"/>
        </w:rPr>
      </w:pPr>
    </w:p>
    <w:p>
      <w:pPr>
        <w:ind w:left="260" w:right="120" w:hanging="255"/>
        <w:spacing w:after="0" w:line="220" w:lineRule="auto"/>
        <w:tabs>
          <w:tab w:leader="none" w:pos="25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1,227,546 shares of the Company’s Class B Common Stock were converted on a one share for one share basis into shares of the Company’s Common Stock, effective as of March 17, 2022. See Note 2 for additional information on the Stockholder Conversion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w:t>
            </w:r>
          </w:p>
        </w:tc>
        <w:tc>
          <w:tcPr>
            <w:tcW w:w="38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Inventories consisted of the following:</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24"/>
                <w:szCs w:val="24"/>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1"/>
        </w:trPr>
        <w:tc>
          <w:tcPr>
            <w:tcW w:w="4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3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211,089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181,751</w:t>
            </w:r>
          </w:p>
        </w:tc>
        <w:tc>
          <w:tcPr>
            <w:tcW w:w="0" w:type="dxa"/>
            <w:vAlign w:val="bottom"/>
          </w:tcPr>
          <w:p>
            <w:pPr>
              <w:spacing w:after="0"/>
              <w:rPr>
                <w:sz w:val="1"/>
                <w:szCs w:val="1"/>
                <w:color w:val="auto"/>
              </w:rPr>
            </w:pPr>
          </w:p>
        </w:tc>
      </w:tr>
      <w:tr>
        <w:trPr>
          <w:trHeight w:val="18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Manufacturing materials</w:t>
            </w: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81,183</w:t>
            </w:r>
          </w:p>
        </w:tc>
        <w:tc>
          <w:tcPr>
            <w:tcW w:w="0" w:type="dxa"/>
            <w:vAlign w:val="bottom"/>
          </w:tcPr>
          <w:p>
            <w:pPr>
              <w:spacing w:after="0"/>
              <w:rPr>
                <w:sz w:val="1"/>
                <w:szCs w:val="1"/>
                <w:color w:val="auto"/>
              </w:rPr>
            </w:pPr>
          </w:p>
        </w:tc>
      </w:tr>
      <w:tr>
        <w:trPr>
          <w:trHeight w:val="18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Plastic shells, plastic pallets and other inventories</w:t>
            </w: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39,917</w:t>
            </w:r>
          </w:p>
        </w:tc>
        <w:tc>
          <w:tcPr>
            <w:tcW w:w="0" w:type="dxa"/>
            <w:vAlign w:val="bottom"/>
          </w:tcPr>
          <w:p>
            <w:pPr>
              <w:spacing w:after="0"/>
              <w:rPr>
                <w:sz w:val="1"/>
                <w:szCs w:val="1"/>
                <w:color w:val="auto"/>
              </w:rPr>
            </w:pPr>
          </w:p>
        </w:tc>
      </w:tr>
      <w:tr>
        <w:trPr>
          <w:trHeight w:val="17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inventories</w:t>
            </w: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347,545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302,851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140" w:type="dxa"/>
            <w:vAlign w:val="bottom"/>
            <w:vMerge w:val="restart"/>
          </w:tcPr>
          <w:p>
            <w:pPr>
              <w:jc w:val="right"/>
              <w:ind w:right="154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3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c>
          <w:tcPr>
            <w:tcW w:w="3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6" w:name="page57"/>
    <w:bookmarkEnd w:id="56"/>
    <w:p>
      <w:pPr>
        <w:ind w:left="640" w:hanging="635"/>
        <w:spacing w:after="0"/>
        <w:tabs>
          <w:tab w:leader="none" w:pos="64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Prepaid Expenses and Other Current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9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24"/>
                <w:szCs w:val="24"/>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24"/>
                <w:szCs w:val="24"/>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Repair parts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26,643</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taxes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software</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7,038</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Commodity hedges at fair market value</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marketing</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prepaid expenses and other current assets</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34,837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28,214</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prepaid expenses and other current assets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94,263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78,068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w:t>
            </w:r>
          </w:p>
        </w:tc>
        <w:tc>
          <w:tcPr>
            <w:tcW w:w="4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61"/>
        </w:trPr>
        <w:tc>
          <w:tcPr>
            <w:tcW w:w="7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principal categories and estimated useful lives of property, plant and equipment, net were as follows:</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93"/>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24"/>
                <w:szCs w:val="24"/>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24"/>
                <w:szCs w:val="24"/>
                <w:color w:val="auto"/>
              </w:rPr>
            </w:pP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171"/>
        </w:trPr>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4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88,185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80,261</w:t>
            </w:r>
          </w:p>
        </w:tc>
        <w:tc>
          <w:tcPr>
            <w:tcW w:w="8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spacing w:after="0"/>
              <w:rPr>
                <w:sz w:val="14"/>
                <w:szCs w:val="14"/>
                <w:color w:val="auto"/>
              </w:rPr>
            </w:pPr>
          </w:p>
        </w:tc>
      </w:tr>
      <w:tr>
        <w:trPr>
          <w:trHeight w:val="180"/>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265,070</w:t>
            </w:r>
          </w:p>
        </w:tc>
        <w:tc>
          <w:tcPr>
            <w:tcW w:w="80" w:type="dxa"/>
            <w:vAlign w:val="bottom"/>
          </w:tcPr>
          <w:p>
            <w:pPr>
              <w:spacing w:after="0"/>
              <w:rPr>
                <w:sz w:val="15"/>
                <w:szCs w:val="15"/>
                <w:color w:val="auto"/>
              </w:rPr>
            </w:pPr>
          </w:p>
        </w:tc>
        <w:tc>
          <w:tcPr>
            <w:tcW w:w="218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8-50 years</w:t>
            </w:r>
          </w:p>
        </w:tc>
      </w:tr>
      <w:tr>
        <w:trPr>
          <w:trHeight w:val="18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443,592</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w w:val="98"/>
              </w:rPr>
              <w:t>5-20 years</w:t>
            </w:r>
          </w:p>
        </w:tc>
      </w:tr>
      <w:tr>
        <w:trPr>
          <w:trHeight w:val="18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Transportation equipment</w:t>
            </w: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466,238</w:t>
            </w:r>
          </w:p>
        </w:tc>
        <w:tc>
          <w:tcPr>
            <w:tcW w:w="80" w:type="dxa"/>
            <w:vAlign w:val="bottom"/>
          </w:tcPr>
          <w:p>
            <w:pPr>
              <w:spacing w:after="0"/>
              <w:rPr>
                <w:sz w:val="15"/>
                <w:szCs w:val="15"/>
                <w:color w:val="auto"/>
              </w:rPr>
            </w:pPr>
          </w:p>
        </w:tc>
        <w:tc>
          <w:tcPr>
            <w:tcW w:w="218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3-20 years</w:t>
            </w:r>
          </w:p>
        </w:tc>
      </w:tr>
      <w:tr>
        <w:trPr>
          <w:trHeight w:val="18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95,062</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w w:val="98"/>
              </w:rPr>
              <w:t>3-10 years</w:t>
            </w:r>
          </w:p>
        </w:tc>
      </w:tr>
      <w:tr>
        <w:trPr>
          <w:trHeight w:val="18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Cold drink dispensing equipment</w:t>
            </w: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438,879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436,954</w:t>
            </w:r>
          </w:p>
        </w:tc>
        <w:tc>
          <w:tcPr>
            <w:tcW w:w="80" w:type="dxa"/>
            <w:vAlign w:val="bottom"/>
          </w:tcPr>
          <w:p>
            <w:pPr>
              <w:spacing w:after="0"/>
              <w:rPr>
                <w:sz w:val="15"/>
                <w:szCs w:val="15"/>
                <w:color w:val="auto"/>
              </w:rPr>
            </w:pPr>
          </w:p>
        </w:tc>
        <w:tc>
          <w:tcPr>
            <w:tcW w:w="218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3-17 years</w:t>
            </w:r>
          </w:p>
        </w:tc>
      </w:tr>
      <w:tr>
        <w:trPr>
          <w:trHeight w:val="18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and land improvements</w:t>
            </w: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178,809</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w w:val="98"/>
              </w:rPr>
              <w:t>5-20 years</w:t>
            </w:r>
          </w:p>
        </w:tc>
      </w:tr>
      <w:tr>
        <w:trPr>
          <w:trHeight w:val="18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Software for internal use</w:t>
            </w: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47,982</w:t>
            </w:r>
          </w:p>
        </w:tc>
        <w:tc>
          <w:tcPr>
            <w:tcW w:w="80" w:type="dxa"/>
            <w:vAlign w:val="bottom"/>
          </w:tcPr>
          <w:p>
            <w:pPr>
              <w:spacing w:after="0"/>
              <w:rPr>
                <w:sz w:val="15"/>
                <w:szCs w:val="15"/>
                <w:color w:val="auto"/>
              </w:rPr>
            </w:pPr>
          </w:p>
        </w:tc>
        <w:tc>
          <w:tcPr>
            <w:tcW w:w="218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3-10 years</w:t>
            </w:r>
          </w:p>
        </w:tc>
      </w:tr>
      <w:tr>
        <w:trPr>
          <w:trHeight w:val="18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103,803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23,496</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171"/>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property, plant and equipment, at cost</w:t>
            </w:r>
          </w:p>
        </w:tc>
        <w:tc>
          <w:tcPr>
            <w:tcW w:w="2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2,289,993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2,037,464</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8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1,106,263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1,006,776</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171"/>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1,183,730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1,030,688</w:t>
            </w: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0"/>
        </w:trPr>
        <w:tc>
          <w:tcPr>
            <w:tcW w:w="6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2022, 2021 and 2020, the Company performed periodic reviews of property, plant and equipment and determined no material impairment existed.</w:t>
      </w:r>
    </w:p>
    <w:p>
      <w:pPr>
        <w:spacing w:after="0" w:line="198" w:lineRule="exact"/>
        <w:rPr>
          <w:sz w:val="20"/>
          <w:szCs w:val="20"/>
          <w:color w:val="auto"/>
        </w:rPr>
      </w:pPr>
    </w:p>
    <w:p>
      <w:pPr>
        <w:ind w:left="640" w:hanging="635"/>
        <w:spacing w:after="0"/>
        <w:tabs>
          <w:tab w:leader="none" w:pos="64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is a summary of the weighted average remaining lease term and the weighted average discount rate for the Company’s leases: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9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rPr>
                <w:sz w:val="14"/>
                <w:szCs w:val="14"/>
                <w:color w:val="auto"/>
              </w:rPr>
            </w:pPr>
          </w:p>
        </w:tc>
      </w:tr>
      <w:tr>
        <w:trPr>
          <w:trHeight w:val="18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years</w:t>
            </w:r>
          </w:p>
        </w:tc>
      </w:tr>
      <w:tr>
        <w:trPr>
          <w:trHeight w:val="18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leases</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years</w:t>
            </w:r>
          </w:p>
        </w:tc>
      </w:tr>
      <w:tr>
        <w:trPr>
          <w:trHeight w:val="18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84"/>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Financing leases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r>
    </w:tbl>
    <w:p>
      <w:pPr>
        <w:spacing w:after="0" w:line="24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On March 17, 2022, the Company terminated its financing lease for the Snyder Production Center, which was scheduled to expire on December 31, 2035. See Note 2 for additional information on the lease termination.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Following is a summary of the Company’s leases within the consolidated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26,385</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24,823</w:t>
            </w: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and variable leases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15,305</w:t>
            </w: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 from financing leases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w:t>
            </w: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on financing lease obligations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w:t>
            </w: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48,748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51,587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46,534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future minimum lease payments related to the Company’s leases include renewal options the Company has determined to be reasonably certain and exclude payments to landlords for real estate taxes and common area maintenance. Following is a summary of future minimum lease payments for all noncancelable operating leases and financing leases as of December 31, 2022</w:t>
      </w:r>
      <w:r>
        <w:rPr>
          <w:rFonts w:ascii="Times New Roman" w:cs="Times New Roman" w:eastAsia="Times New Roman" w:hAnsi="Times New Roman"/>
          <w:sz w:val="12"/>
          <w:szCs w:val="12"/>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60" w:type="dxa"/>
            <w:vAlign w:val="bottom"/>
          </w:tcPr>
          <w:p>
            <w:pPr>
              <w:spacing w:after="0"/>
              <w:rPr>
                <w:sz w:val="16"/>
                <w:szCs w:val="16"/>
                <w:color w:val="auto"/>
              </w:rPr>
            </w:pPr>
          </w:p>
        </w:tc>
        <w:tc>
          <w:tcPr>
            <w:tcW w:w="16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w:t>
            </w: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w:t>
            </w: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51,372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r>
      <w:tr>
        <w:trPr>
          <w:trHeight w:val="171"/>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minimum lease payments including interest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168,623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10,964</w:t>
            </w:r>
          </w:p>
        </w:tc>
      </w:tr>
      <w:tr>
        <w:trPr>
          <w:trHeight w:val="171"/>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r>
      <w:tr>
        <w:trPr>
          <w:trHeight w:val="171"/>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minimum lease principal payments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146,398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9,822</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Current portion of lease liabilities - operating and financing leases</w:t>
            </w: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27,635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2,303</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portion of lease liabilities - operating and financing leases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118,763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7,519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is a summary of future minimum lease payments for all noncancelable operating leases and financing leases as of December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Financing Leases</w:t>
            </w:r>
          </w:p>
        </w:tc>
        <w:tc>
          <w:tcPr>
            <w:tcW w:w="0" w:type="dxa"/>
            <w:vAlign w:val="bottom"/>
          </w:tcPr>
          <w:p>
            <w:pPr>
              <w:spacing w:after="0"/>
              <w:rPr>
                <w:sz w:val="1"/>
                <w:szCs w:val="1"/>
                <w:color w:val="auto"/>
              </w:rPr>
            </w:pPr>
          </w:p>
        </w:tc>
      </w:tr>
      <w:tr>
        <w:trPr>
          <w:trHeight w:val="17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7,145</w:t>
            </w:r>
          </w:p>
        </w:tc>
        <w:tc>
          <w:tcPr>
            <w:tcW w:w="0" w:type="dxa"/>
            <w:vAlign w:val="bottom"/>
          </w:tcPr>
          <w:p>
            <w:pPr>
              <w:spacing w:after="0"/>
              <w:rPr>
                <w:sz w:val="1"/>
                <w:szCs w:val="1"/>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7,396</w:t>
            </w:r>
          </w:p>
        </w:tc>
        <w:tc>
          <w:tcPr>
            <w:tcW w:w="0" w:type="dxa"/>
            <w:vAlign w:val="bottom"/>
          </w:tcPr>
          <w:p>
            <w:pPr>
              <w:spacing w:after="0"/>
              <w:rPr>
                <w:sz w:val="1"/>
                <w:szCs w:val="1"/>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7,593</w:t>
            </w: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0" w:type="dxa"/>
            <w:vAlign w:val="bottom"/>
          </w:tcPr>
          <w:p>
            <w:pPr>
              <w:spacing w:after="0"/>
              <w:rPr>
                <w:sz w:val="1"/>
                <w:szCs w:val="1"/>
                <w:color w:val="auto"/>
              </w:rPr>
            </w:pP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65,695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49,728</w:t>
            </w:r>
          </w:p>
        </w:tc>
        <w:tc>
          <w:tcPr>
            <w:tcW w:w="0" w:type="dxa"/>
            <w:vAlign w:val="bottom"/>
          </w:tcPr>
          <w:p>
            <w:pPr>
              <w:spacing w:after="0"/>
              <w:rPr>
                <w:sz w:val="1"/>
                <w:szCs w:val="1"/>
                <w:color w:val="auto"/>
              </w:rPr>
            </w:pPr>
          </w:p>
        </w:tc>
      </w:tr>
      <w:tr>
        <w:trPr>
          <w:trHeight w:val="171"/>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minimum lease payments including interest</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169,568</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85,163</w:t>
            </w: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14,097</w:t>
            </w:r>
          </w:p>
        </w:tc>
        <w:tc>
          <w:tcPr>
            <w:tcW w:w="0" w:type="dxa"/>
            <w:vAlign w:val="bottom"/>
          </w:tcPr>
          <w:p>
            <w:pPr>
              <w:spacing w:after="0"/>
              <w:rPr>
                <w:sz w:val="1"/>
                <w:szCs w:val="1"/>
                <w:color w:val="auto"/>
              </w:rPr>
            </w:pPr>
          </w:p>
        </w:tc>
      </w:tr>
      <w:tr>
        <w:trPr>
          <w:trHeight w:val="171"/>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minimum lease principal payments</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144,094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71,066</w:t>
            </w:r>
          </w:p>
        </w:tc>
        <w:tc>
          <w:tcPr>
            <w:tcW w:w="0" w:type="dxa"/>
            <w:vAlign w:val="bottom"/>
          </w:tcPr>
          <w:p>
            <w:pPr>
              <w:spacing w:after="0"/>
              <w:rPr>
                <w:sz w:val="1"/>
                <w:szCs w:val="1"/>
                <w:color w:val="auto"/>
              </w:rPr>
            </w:pP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Current portion of lease liabilities - operating and financing leases</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22,048</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portion of lease liabilities - operating and financing leases</w:t>
            </w: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122,046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65,006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Following is a summary of the Company’s leases within the consolidated statements of cash flows:</w:t>
            </w: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7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4"/>
                <w:szCs w:val="14"/>
                <w:color w:val="auto"/>
              </w:rPr>
            </w:pPr>
          </w:p>
        </w:tc>
        <w:tc>
          <w:tcPr>
            <w:tcW w:w="1120" w:type="dxa"/>
            <w:vAlign w:val="bottom"/>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 impact: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28,891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8"/>
              </w:rPr>
              <w:t>27,642</w:t>
            </w:r>
          </w:p>
        </w:tc>
        <w:tc>
          <w:tcPr>
            <w:tcW w:w="4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24,718</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payments on financing lease obligations</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flows from operating activities impact</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29,775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29,943</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26,446</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 impact: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payments on financing lease obligations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4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5,861</w:t>
            </w:r>
          </w:p>
        </w:tc>
        <w:tc>
          <w:tcPr>
            <w:tcW w:w="0" w:type="dxa"/>
            <w:vAlign w:val="bottom"/>
          </w:tcPr>
          <w:p>
            <w:pPr>
              <w:spacing w:after="0"/>
              <w:rPr>
                <w:sz w:val="1"/>
                <w:szCs w:val="1"/>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flows from financing activities impact</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2,988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4,778</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5,861</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558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6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The Company did not enter into any material operating lease commitments subsequent to year-end.</w:t>
      </w:r>
    </w:p>
    <w:p>
      <w:pPr>
        <w:spacing w:after="0" w:line="198" w:lineRule="exact"/>
        <w:rPr>
          <w:sz w:val="20"/>
          <w:szCs w:val="20"/>
          <w:color w:val="auto"/>
        </w:rPr>
      </w:pPr>
    </w:p>
    <w:p>
      <w:pPr>
        <w:ind w:left="640" w:hanging="635"/>
        <w:spacing w:after="0"/>
        <w:tabs>
          <w:tab w:leader="none" w:pos="64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Distribution Agreements,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Distribution agreements, net, which are amortized on a straight-line basis and have an estimated useful life of 20 to 40 years,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40" w:type="dxa"/>
            <w:vAlign w:val="bottom"/>
          </w:tcPr>
          <w:p>
            <w:pPr>
              <w:spacing w:after="0"/>
              <w:rPr>
                <w:sz w:val="16"/>
                <w:szCs w:val="16"/>
                <w:color w:val="auto"/>
              </w:rPr>
            </w:pPr>
          </w:p>
        </w:tc>
        <w:tc>
          <w:tcPr>
            <w:tcW w:w="15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agreements at cost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990,191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960,042</w:t>
            </w:r>
          </w:p>
        </w:tc>
        <w:tc>
          <w:tcPr>
            <w:tcW w:w="0" w:type="dxa"/>
            <w:vAlign w:val="bottom"/>
          </w:tcPr>
          <w:p>
            <w:pPr>
              <w:spacing w:after="0"/>
              <w:rPr>
                <w:sz w:val="1"/>
                <w:szCs w:val="1"/>
                <w:color w:val="auto"/>
              </w:rPr>
            </w:pP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148,156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123,265</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agreements, net</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842,035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836,777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Following is a summary of activity for distribution agreements, net during 2022 and 2021: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4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4"/>
                <w:szCs w:val="14"/>
                <w:color w:val="auto"/>
              </w:rPr>
            </w:pPr>
          </w:p>
        </w:tc>
        <w:tc>
          <w:tcPr>
            <w:tcW w:w="164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 - distribution agreements, net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836,777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853,753</w:t>
            </w:r>
          </w:p>
        </w:tc>
        <w:tc>
          <w:tcPr>
            <w:tcW w:w="0" w:type="dxa"/>
            <w:vAlign w:val="bottom"/>
          </w:tcPr>
          <w:p>
            <w:pPr>
              <w:spacing w:after="0"/>
              <w:rPr>
                <w:sz w:val="1"/>
                <w:szCs w:val="1"/>
                <w:color w:val="auto"/>
              </w:rPr>
            </w:pP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distribution agreements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w:t>
            </w:r>
          </w:p>
        </w:tc>
        <w:tc>
          <w:tcPr>
            <w:tcW w:w="0" w:type="dxa"/>
            <w:vAlign w:val="bottom"/>
          </w:tcPr>
          <w:p>
            <w:pPr>
              <w:spacing w:after="0"/>
              <w:rPr>
                <w:sz w:val="1"/>
                <w:szCs w:val="1"/>
                <w:color w:val="auto"/>
              </w:rPr>
            </w:pP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accumulated amortization</w:t>
            </w:r>
          </w:p>
        </w:tc>
        <w:tc>
          <w:tcPr>
            <w:tcW w:w="2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(24,485)</w:t>
            </w:r>
          </w:p>
        </w:tc>
        <w:tc>
          <w:tcPr>
            <w:tcW w:w="0" w:type="dxa"/>
            <w:vAlign w:val="bottom"/>
          </w:tcPr>
          <w:p>
            <w:pPr>
              <w:spacing w:after="0"/>
              <w:rPr>
                <w:sz w:val="1"/>
                <w:szCs w:val="1"/>
                <w:color w:val="auto"/>
              </w:rPr>
            </w:pP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 distribution agreements, net</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842,035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836,777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Assuming no impairment of distribution agreements, net, amortization expense in future years based upon recorded amounts as of December 31, 2022 will be approximately $25 million for each fiscal year 2023 through 2027.</w:t>
      </w:r>
    </w:p>
    <w:p>
      <w:pPr>
        <w:spacing w:after="0" w:line="143" w:lineRule="exact"/>
        <w:rPr>
          <w:sz w:val="20"/>
          <w:szCs w:val="20"/>
          <w:color w:val="auto"/>
        </w:rPr>
      </w:pPr>
    </w:p>
    <w:p>
      <w:pPr>
        <w:ind w:left="640" w:hanging="635"/>
        <w:spacing w:after="0"/>
        <w:tabs>
          <w:tab w:leader="none" w:pos="64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Customer Lists,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Customer lists, net, which are amortized on a straight-line basis and have an estimated useful life of five to 12 years,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lists at cost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25,288</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14,322</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Customer lists, net</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9,165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10,966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Assuming no impairment of customer lists, net, amortization expense in future years based upon recorded amounts as of December 31, 2022 will be approximately $2 million for each fiscal year 2023 through 2027.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w:t>
            </w:r>
          </w:p>
        </w:tc>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Other Accrued Liabilities</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61"/>
        </w:trPr>
        <w:tc>
          <w:tcPr>
            <w:tcW w:w="7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accrued liabilities consisted of the following:</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24"/>
                <w:szCs w:val="24"/>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24"/>
                <w:szCs w:val="24"/>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insurance costs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51,645</w:t>
            </w:r>
          </w:p>
        </w:tc>
      </w:tr>
      <w:tr>
        <w:trPr>
          <w:trHeight w:val="18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portion of acquisition related contingent consideration</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51,518</w:t>
            </w: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marketing costs</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32,249</w:t>
            </w:r>
          </w:p>
        </w:tc>
      </w:tr>
      <w:tr>
        <w:trPr>
          <w:trHeight w:val="18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Employee and retiree benefit plan accruals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32,007</w:t>
            </w: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taxes (other than income taxes)</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6,638</w:t>
            </w:r>
          </w:p>
        </w:tc>
      </w:tr>
      <w:tr>
        <w:trPr>
          <w:trHeight w:val="18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portion of deferred payroll taxes under CARES Act</w:t>
            </w:r>
          </w:p>
        </w:tc>
        <w:tc>
          <w:tcPr>
            <w:tcW w:w="220" w:type="dxa"/>
            <w:vAlign w:val="bottom"/>
          </w:tcPr>
          <w:p>
            <w:pPr>
              <w:spacing w:after="0"/>
              <w:rPr>
                <w:sz w:val="15"/>
                <w:szCs w:val="15"/>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18,739</w:t>
            </w: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accrued expenses</w:t>
            </w:r>
          </w:p>
        </w:tc>
        <w:tc>
          <w:tcPr>
            <w:tcW w:w="2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33,973</w:t>
            </w:r>
          </w:p>
        </w:tc>
      </w:tr>
      <w:tr>
        <w:trPr>
          <w:trHeight w:val="171"/>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accrued liabilities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198,300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226,769</w:t>
            </w:r>
          </w:p>
        </w:tc>
      </w:tr>
      <w:tr>
        <w:trPr>
          <w:trHeight w:val="20"/>
        </w:trPr>
        <w:tc>
          <w:tcPr>
            <w:tcW w:w="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Company took advantage of certain provisions of the Coronavirus Aid, Relief and Economic Security Act (the “CARES Act”), which allowed an employer to defer the deposit and payment of the employer’s portion of social security taxes that would otherwise have been due on or after March 27, 2020 and before January 1, 2021. The law permits an employer to deposit half of these deferred payments by December 31, 2021 and the other half by December 31, 2022. The Company repaid a portion of the deferred payroll taxes during 2021 and repaid the remaining portion of the deferred payroll taxes during 2022.</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9" w:name="page60"/>
    <w:bookmarkEnd w:id="59"/>
    <w:p>
      <w:pPr>
        <w:ind w:left="640" w:hanging="635"/>
        <w:spacing w:after="0"/>
        <w:tabs>
          <w:tab w:leader="none" w:pos="64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Commodity Derivative Instruments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Company is subject to the risk of increased costs arising from adverse changes in certain commodity prices. In the normal course of business, the Company manages this risk through a variety of strategies, including the use of commodity derivative instruments. The Company does not use commodity derivative instruments for trading or speculative purposes. These commodity derivative instruments are not designated as hedging instruments under GAAP and are used as “economic hedges” to manage certain commodity price risk. The Company uses several different financial institutions for commodity derivative instruments to minimize the concentration of credit risk. While the Company would be exposed to credit loss in the event of nonperformance by these counterparties, the Company does not anticipate nonperformance by these counterparties.</w:t>
      </w:r>
    </w:p>
    <w:p>
      <w:pPr>
        <w:spacing w:after="0" w:line="16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Commodity derivative instruments held by the Company are marked to market on a monthly basis and are recognized in earnings consistent with the expense classification of the underlying hedged item. The Company generally pays a fee for these commodity derivative instruments, which is amortized over the corresponding period of each commodity derivative instrument. Settlements of commodity derivative instruments are included in cash flows from operating activities in the consolidated statements of cash flows. The following table summarizes pre-tax changes in the fair values of the Company’s commodity derivative instruments and the classification of such changes in the consolidated statements of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w:t>
            </w: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delivery and administrative expenses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gain (loss)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5,241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color w:val="auto"/>
        </w:rPr>
        <w:t>All commodity derivative instruments are recorded at fair value as either assets or liabilities in the consolidated balance sheets. The Company has master agreements with the counterparties to its commodity derivative instruments that provide for net settlement of derivative transactions. Accordingly, the net amounts of derivative assets are recognized in either prepaid expenses and other current assets or other assets in the consolidated balance sheets and the net amounts of derivative liabilities are recognized in either other accrued liabilities or other liabilities in the consolidated balance sheets. The following table summarizes the fair values of the Company’s commodity derivative instruments and the classification of such instruments in the consolidated 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7,714</w:t>
            </w: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4,808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7,714</w:t>
            </w: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gross commodity derivative instrument assets and gross commodity derivative instrument liabilities in the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4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commodity derivative instrument assets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w:t>
            </w:r>
          </w:p>
        </w:tc>
      </w:tr>
      <w:tr>
        <w:trPr>
          <w:trHeight w:val="184"/>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Gross commodity derivative instrument liabilities</w:t>
            </w:r>
          </w:p>
        </w:tc>
        <w:tc>
          <w:tcPr>
            <w:tcW w:w="220" w:type="dxa"/>
            <w:vAlign w:val="bottom"/>
          </w:tcPr>
          <w:p>
            <w:pPr>
              <w:spacing w:after="0"/>
              <w:rPr>
                <w:sz w:val="16"/>
                <w:szCs w:val="16"/>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r>
      <w:tr>
        <w:trPr>
          <w:trHeight w:val="431"/>
        </w:trPr>
        <w:tc>
          <w:tcPr>
            <w:tcW w:w="7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outstanding commodity derivative instruments: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24"/>
                <w:szCs w:val="24"/>
                <w:color w:val="auto"/>
              </w:rPr>
            </w:pPr>
          </w:p>
        </w:tc>
        <w:tc>
          <w:tcPr>
            <w:tcW w:w="164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Notional amount of outstanding commodity derivative instruments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74,558</w:t>
            </w:r>
          </w:p>
        </w:tc>
      </w:tr>
      <w:tr>
        <w:trPr>
          <w:trHeight w:val="184"/>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Latest maturity date of outstanding commodity derivative instruments</w:t>
            </w:r>
          </w:p>
        </w:tc>
        <w:tc>
          <w:tcPr>
            <w:tcW w:w="22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December 2023</w:t>
            </w:r>
          </w:p>
        </w:tc>
        <w:tc>
          <w:tcPr>
            <w:tcW w:w="240" w:type="dxa"/>
            <w:vAlign w:val="bottom"/>
          </w:tcPr>
          <w:p>
            <w:pPr>
              <w:spacing w:after="0"/>
              <w:rPr>
                <w:sz w:val="16"/>
                <w:szCs w:val="16"/>
                <w:color w:val="auto"/>
              </w:rPr>
            </w:pPr>
          </w:p>
        </w:tc>
        <w:tc>
          <w:tcPr>
            <w:tcW w:w="16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December 2022</w:t>
            </w:r>
          </w:p>
        </w:tc>
      </w:tr>
      <w:tr>
        <w:trPr>
          <w:trHeight w:val="431"/>
        </w:trPr>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w:t>
            </w:r>
          </w:p>
        </w:tc>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Values of Financial Instruments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requires assets and liabilities carried at fair value to be classified and disclosed in one of the following categories:</w:t>
      </w:r>
    </w:p>
    <w:p>
      <w:pPr>
        <w:spacing w:after="0" w:line="200"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Quoted market prices in active markets for identical assets or liabilities.</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Observable market-based inputs or unobservable inputs that are corroborated by market data.</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Unobservable inputs that are not corroborated by market data.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60" w:name="page61"/>
    <w:bookmarkEnd w:id="60"/>
    <w:p>
      <w:pPr>
        <w:ind w:right="160"/>
        <w:spacing w:after="0" w:line="287" w:lineRule="auto"/>
        <w:rPr>
          <w:sz w:val="20"/>
          <w:szCs w:val="20"/>
          <w:color w:val="auto"/>
        </w:rPr>
      </w:pPr>
      <w:r>
        <w:rPr>
          <w:rFonts w:ascii="Times New Roman" w:cs="Times New Roman" w:eastAsia="Times New Roman" w:hAnsi="Times New Roman"/>
          <w:sz w:val="14"/>
          <w:szCs w:val="14"/>
          <w:color w:val="auto"/>
        </w:rPr>
        <w:t>The below methods and assumptions were used by the Company in estimating the fair values of its financial instruments. There were no transfers of assets or liabilities between levels in any period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500" w:type="dxa"/>
            <w:vAlign w:val="bottom"/>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Methods and Assumptions</w:t>
            </w:r>
          </w:p>
        </w:tc>
        <w:tc>
          <w:tcPr>
            <w:tcW w:w="0" w:type="dxa"/>
            <w:vAlign w:val="bottom"/>
          </w:tcPr>
          <w:p>
            <w:pPr>
              <w:spacing w:after="0"/>
              <w:rPr>
                <w:sz w:val="1"/>
                <w:szCs w:val="1"/>
                <w:color w:val="auto"/>
              </w:rPr>
            </w:pPr>
          </w:p>
        </w:tc>
      </w:tr>
      <w:tr>
        <w:trPr>
          <w:trHeight w:val="191"/>
        </w:trPr>
        <w:tc>
          <w:tcPr>
            <w:tcW w:w="2600" w:type="dxa"/>
            <w:vAlign w:val="bottom"/>
            <w:gridSpan w:val="2"/>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7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5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Deferred compensation plan assets and</w:t>
            </w: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Level 1</w:t>
            </w:r>
          </w:p>
        </w:tc>
        <w:tc>
          <w:tcPr>
            <w:tcW w:w="100" w:type="dxa"/>
            <w:vAlign w:val="bottom"/>
            <w:tcBorders>
              <w:top w:val="single" w:sz="8" w:color="CCEEFF"/>
            </w:tcBorders>
            <w:shd w:val="clear" w:color="auto" w:fill="CCEEFF"/>
          </w:tcPr>
          <w:p>
            <w:pPr>
              <w:spacing w:after="0"/>
              <w:rPr>
                <w:sz w:val="11"/>
                <w:szCs w:val="11"/>
                <w:color w:val="auto"/>
              </w:rPr>
            </w:pPr>
          </w:p>
        </w:tc>
        <w:tc>
          <w:tcPr>
            <w:tcW w:w="75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The fair value of the Company’s nonqualified deferred compensation plan for certain executives and other highly compensated</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liabilities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employees is based on the fair values of associated assets and liabilities, which are held in mutual funds and are based on the quoted</w:t>
            </w: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values of the securities held within the mutual funds.</w:t>
            </w:r>
          </w:p>
        </w:tc>
        <w:tc>
          <w:tcPr>
            <w:tcW w:w="0" w:type="dxa"/>
            <w:vAlign w:val="bottom"/>
          </w:tcPr>
          <w:p>
            <w:pPr>
              <w:spacing w:after="0"/>
              <w:rPr>
                <w:sz w:val="1"/>
                <w:szCs w:val="1"/>
                <w:color w:val="auto"/>
              </w:rPr>
            </w:pPr>
          </w:p>
        </w:tc>
      </w:tr>
      <w:tr>
        <w:trPr>
          <w:trHeight w:val="138"/>
        </w:trPr>
        <w:tc>
          <w:tcPr>
            <w:tcW w:w="26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Pension plan assets</w:t>
            </w:r>
          </w:p>
        </w:tc>
        <w:tc>
          <w:tcPr>
            <w:tcW w:w="118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4"/>
                <w:szCs w:val="14"/>
                <w:color w:val="auto"/>
                <w:w w:val="98"/>
              </w:rPr>
              <w:t>Level 1</w:t>
            </w:r>
          </w:p>
        </w:tc>
        <w:tc>
          <w:tcPr>
            <w:tcW w:w="750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The fair values of the Company’s Level 1 pension plan assets, which are equity securities and fixed income investment vehicles, are</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4"/>
                <w:szCs w:val="14"/>
                <w:color w:val="auto"/>
              </w:rPr>
              <w:t>valued using the quoted market prices of those securities which are actively traded on national exchanges.</w:t>
            </w:r>
          </w:p>
        </w:tc>
        <w:tc>
          <w:tcPr>
            <w:tcW w:w="0" w:type="dxa"/>
            <w:vAlign w:val="bottom"/>
          </w:tcPr>
          <w:p>
            <w:pPr>
              <w:spacing w:after="0"/>
              <w:rPr>
                <w:sz w:val="1"/>
                <w:szCs w:val="1"/>
                <w:color w:val="auto"/>
              </w:rPr>
            </w:pPr>
          </w:p>
        </w:tc>
      </w:tr>
      <w:tr>
        <w:trPr>
          <w:trHeight w:val="141"/>
        </w:trPr>
        <w:tc>
          <w:tcPr>
            <w:tcW w:w="260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Pension plan assets</w:t>
            </w:r>
          </w:p>
        </w:tc>
        <w:tc>
          <w:tcPr>
            <w:tcW w:w="1180" w:type="dxa"/>
            <w:vAlign w:val="bottom"/>
            <w:gridSpan w:val="2"/>
            <w:shd w:val="clear" w:color="auto" w:fill="CCEEFF"/>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8"/>
              </w:rPr>
              <w:t>Level 2</w:t>
            </w:r>
          </w:p>
        </w:tc>
        <w:tc>
          <w:tcPr>
            <w:tcW w:w="75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The fair values of the Company’s Level 2 pension plan assets, which are investments that are pooled with other investments in a</w:t>
            </w:r>
          </w:p>
        </w:tc>
        <w:tc>
          <w:tcPr>
            <w:tcW w:w="0" w:type="dxa"/>
            <w:vAlign w:val="bottom"/>
          </w:tcPr>
          <w:p>
            <w:pPr>
              <w:spacing w:after="0"/>
              <w:rPr>
                <w:sz w:val="1"/>
                <w:szCs w:val="1"/>
                <w:color w:val="auto"/>
              </w:rPr>
            </w:pPr>
          </w:p>
        </w:tc>
      </w:tr>
      <w:tr>
        <w:trPr>
          <w:trHeight w:val="144"/>
        </w:trPr>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commingled fund, are valued using the net asset value produced by the fund manager. The assets within the commingled funds have</w:t>
            </w: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readily determinable fair market value.</w:t>
            </w:r>
          </w:p>
        </w:tc>
        <w:tc>
          <w:tcPr>
            <w:tcW w:w="0" w:type="dxa"/>
            <w:vAlign w:val="bottom"/>
          </w:tcPr>
          <w:p>
            <w:pPr>
              <w:spacing w:after="0"/>
              <w:rPr>
                <w:sz w:val="1"/>
                <w:szCs w:val="1"/>
                <w:color w:val="auto"/>
              </w:rPr>
            </w:pPr>
          </w:p>
        </w:tc>
      </w:tr>
      <w:tr>
        <w:trPr>
          <w:trHeight w:val="138"/>
        </w:trPr>
        <w:tc>
          <w:tcPr>
            <w:tcW w:w="26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Commodity derivative instruments</w:t>
            </w:r>
          </w:p>
        </w:tc>
        <w:tc>
          <w:tcPr>
            <w:tcW w:w="118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4"/>
                <w:szCs w:val="14"/>
                <w:color w:val="auto"/>
                <w:w w:val="98"/>
              </w:rPr>
              <w:t>Level 2</w:t>
            </w:r>
          </w:p>
        </w:tc>
        <w:tc>
          <w:tcPr>
            <w:tcW w:w="750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The fair values of the Company’s commodity derivative instruments are based on current settlement values at each balance sheet</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date, which represent the estimated amounts the Company would have received or paid upon termination of these instruments. The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Company’s credit risk related to the commodity derivative instruments is managed by requiring high standards for its counterparties</w:t>
            </w:r>
          </w:p>
        </w:tc>
        <w:tc>
          <w:tcPr>
            <w:tcW w:w="0" w:type="dxa"/>
            <w:vAlign w:val="bottom"/>
          </w:tcPr>
          <w:p>
            <w:pPr>
              <w:spacing w:after="0"/>
              <w:rPr>
                <w:sz w:val="1"/>
                <w:szCs w:val="1"/>
                <w:color w:val="auto"/>
              </w:rPr>
            </w:pPr>
          </w:p>
        </w:tc>
      </w:tr>
      <w:tr>
        <w:trPr>
          <w:trHeight w:val="138"/>
        </w:trPr>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50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and periodic settlements. The Company considers nonperformance risk in determining the fair values of commodity derivative</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4"/>
                <w:szCs w:val="14"/>
                <w:color w:val="auto"/>
              </w:rPr>
              <w:t>instruments.</w:t>
            </w:r>
          </w:p>
        </w:tc>
        <w:tc>
          <w:tcPr>
            <w:tcW w:w="0" w:type="dxa"/>
            <w:vAlign w:val="bottom"/>
          </w:tcPr>
          <w:p>
            <w:pPr>
              <w:spacing w:after="0"/>
              <w:rPr>
                <w:sz w:val="1"/>
                <w:szCs w:val="1"/>
                <w:color w:val="auto"/>
              </w:rPr>
            </w:pPr>
          </w:p>
        </w:tc>
      </w:tr>
      <w:tr>
        <w:trPr>
          <w:trHeight w:val="141"/>
        </w:trPr>
        <w:tc>
          <w:tcPr>
            <w:tcW w:w="260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Long-term debt</w:t>
            </w:r>
          </w:p>
        </w:tc>
        <w:tc>
          <w:tcPr>
            <w:tcW w:w="1180" w:type="dxa"/>
            <w:vAlign w:val="bottom"/>
            <w:gridSpan w:val="2"/>
            <w:shd w:val="clear" w:color="auto" w:fill="CCEEFF"/>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8"/>
              </w:rPr>
              <w:t>Level 2</w:t>
            </w:r>
          </w:p>
        </w:tc>
        <w:tc>
          <w:tcPr>
            <w:tcW w:w="75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The carrying amounts of the Company’s variable rate debt approximate the fair values due to variable interest rates with short reset</w:t>
            </w:r>
          </w:p>
        </w:tc>
        <w:tc>
          <w:tcPr>
            <w:tcW w:w="0" w:type="dxa"/>
            <w:vAlign w:val="bottom"/>
          </w:tcPr>
          <w:p>
            <w:pPr>
              <w:spacing w:after="0"/>
              <w:rPr>
                <w:sz w:val="1"/>
                <w:szCs w:val="1"/>
                <w:color w:val="auto"/>
              </w:rPr>
            </w:pPr>
          </w:p>
        </w:tc>
      </w:tr>
      <w:tr>
        <w:trPr>
          <w:trHeight w:val="191"/>
        </w:trPr>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periods. The fair values of the Company’s fixed rate debt are based on estimated current market prices.</w:t>
            </w:r>
          </w:p>
        </w:tc>
        <w:tc>
          <w:tcPr>
            <w:tcW w:w="0" w:type="dxa"/>
            <w:vAlign w:val="bottom"/>
          </w:tcPr>
          <w:p>
            <w:pPr>
              <w:spacing w:after="0"/>
              <w:rPr>
                <w:sz w:val="1"/>
                <w:szCs w:val="1"/>
                <w:color w:val="auto"/>
              </w:rPr>
            </w:pPr>
          </w:p>
        </w:tc>
      </w:tr>
      <w:tr>
        <w:trPr>
          <w:trHeight w:val="138"/>
        </w:trPr>
        <w:tc>
          <w:tcPr>
            <w:tcW w:w="26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Acquisition related contingent</w:t>
            </w:r>
          </w:p>
        </w:tc>
        <w:tc>
          <w:tcPr>
            <w:tcW w:w="118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4"/>
                <w:szCs w:val="14"/>
                <w:color w:val="auto"/>
                <w:w w:val="98"/>
              </w:rPr>
              <w:t>Level 3</w:t>
            </w:r>
          </w:p>
        </w:tc>
        <w:tc>
          <w:tcPr>
            <w:tcW w:w="750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The fair value of the Company’s acquisition related contingent consideration is based on internal forecasts and the WACC derived</w:t>
            </w:r>
          </w:p>
        </w:tc>
        <w:tc>
          <w:tcPr>
            <w:tcW w:w="0" w:type="dxa"/>
            <w:vAlign w:val="bottom"/>
          </w:tcPr>
          <w:p>
            <w:pPr>
              <w:spacing w:after="0"/>
              <w:rPr>
                <w:sz w:val="1"/>
                <w:szCs w:val="1"/>
                <w:color w:val="auto"/>
              </w:rPr>
            </w:pPr>
          </w:p>
        </w:tc>
      </w:tr>
      <w:tr>
        <w:trPr>
          <w:trHeight w:val="18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consideration</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4"/>
                <w:szCs w:val="14"/>
                <w:color w:val="auto"/>
              </w:rPr>
              <w:t>from market data.</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The following tables summarize the carrying amounts and the fair values by level of the Company’s deferred compensation plan assets and liabilities, pension plan assets, commodity derivative instruments, long-term debt and acquisition related contingent consideration: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3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1"/>
                <w:szCs w:val="11"/>
                <w:color w:val="auto"/>
              </w:rPr>
            </w:pPr>
          </w:p>
        </w:tc>
        <w:tc>
          <w:tcPr>
            <w:tcW w:w="144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140" w:type="dxa"/>
            <w:vAlign w:val="bottom"/>
          </w:tcPr>
          <w:p>
            <w:pPr>
              <w:jc w:val="right"/>
              <w:ind w:right="289"/>
              <w:spacing w:after="0" w:line="12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4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1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 assets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Commodity derivative instruments</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compensation plan liabilities</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related contingent consideration</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541,491</w:t>
            </w:r>
          </w:p>
        </w:tc>
        <w:tc>
          <w:tcPr>
            <w:tcW w:w="0" w:type="dxa"/>
            <w:vAlign w:val="bottom"/>
          </w:tcPr>
          <w:p>
            <w:pPr>
              <w:spacing w:after="0"/>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33"/>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3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1"/>
                <w:szCs w:val="11"/>
                <w:color w:val="auto"/>
              </w:rPr>
            </w:pPr>
          </w:p>
        </w:tc>
        <w:tc>
          <w:tcPr>
            <w:tcW w:w="1440" w:type="dxa"/>
            <w:vAlign w:val="bottom"/>
            <w:gridSpan w:val="3"/>
          </w:tcPr>
          <w:p>
            <w:pPr>
              <w:jc w:val="center"/>
              <w:ind w:right="540"/>
              <w:spacing w:after="0" w:line="133"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140" w:type="dxa"/>
            <w:vAlign w:val="bottom"/>
          </w:tcPr>
          <w:p>
            <w:pPr>
              <w:jc w:val="right"/>
              <w:ind w:right="289"/>
              <w:spacing w:after="0" w:line="133"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4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1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8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60,461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60,461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60,461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 assets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Commodity derivative instruments</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compensation plan liabilities</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723,443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772,600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772,600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related contingent consideration</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542,105</w:t>
            </w:r>
          </w:p>
        </w:tc>
      </w:tr>
    </w:tbl>
    <w:p>
      <w:pPr>
        <w:spacing w:after="0" w:line="24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acquisition related contingent consideration was valued using a probability weighted discounted cash flow model based on internal forecasts and the WACC derived from market data, which are considered Level 3 inputs. Each reporting period, the Company adjusts its acquisition related contingent consideration liability related to the distribution territories subject to acquisition related sub-</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color w:val="auto"/>
        </w:rPr>
        <w:t>bottling payments to fair value by discounting future expected acquisition related sub-bottling payments required under the CBA using the Company’s estimated WACC.</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future expected acquisition related sub-bottling payments extend through the life of the related distribution assets acquired in each distribution territory, which is generally 40 years. As a result, the fair value of the acquisition related contingent consideration liability is impacted by the Company’s WACC, management’s estimate of acquisition related sub-bottling payments that will be made in the future under the CBA, and current acquisition related sub-bottling payments (all Level 3 inputs). Changes in any of these Level 3 inputs, particularly the underlying risk-free interest rate used to estimate the Company’s WACC, could result in material changes to the fair value of the acquisition related contingent consideration liability and could materially impact the amount of non-cash expense (or income) recorded each reporting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acquisition related contingent consideration liability is the Company’s only Level 3 asset or liability. A summary of the Level 3 activity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40" w:type="dxa"/>
            <w:vAlign w:val="bottom"/>
            <w:tcBorders>
              <w:bottom w:val="single" w:sz="8" w:color="auto"/>
            </w:tcBorders>
          </w:tcPr>
          <w:p>
            <w:pPr>
              <w:spacing w:after="0"/>
              <w:rPr>
                <w:sz w:val="16"/>
                <w:szCs w:val="16"/>
                <w:color w:val="auto"/>
              </w:rPr>
            </w:pP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Pr>
          <w:p>
            <w:pPr>
              <w:spacing w:after="0"/>
              <w:rPr>
                <w:sz w:val="14"/>
                <w:szCs w:val="14"/>
                <w:color w:val="auto"/>
              </w:rPr>
            </w:pPr>
          </w:p>
        </w:tc>
        <w:tc>
          <w:tcPr>
            <w:tcW w:w="142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 - Level 3 liability</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542,105</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434,694</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of acquisition related contingent consideration</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(39,097)</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to current payables</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Increase in fair value</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146,308</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 Level 3 liability</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541,491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542,105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December 31, 2022 and December 31, 2021, discount rates of 9.1% and 7.5%, respectively, were utilized in the valuation of the Company’s acquisition related contingent consideration liability. The increase in the fair value of the acquisition related contingent consideration liability in 2022 was primarily driven by higher projections of future cash flows in the distribution territories subject to acquisition related sub-bottling payments, partially offset by an increase in the discount rate used to calculate fair value. This fair value adjustment was recorded in other expense, net in the consolidated statement of operations for 2022.</w:t>
      </w:r>
    </w:p>
    <w:p>
      <w:pPr>
        <w:spacing w:after="0" w:line="1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anticipates that the amount it could pay annually under the acquisition related contingent consideration arrangements for the distribution territories subject to acquisition related sub-bottling payments will be in the range of $42 million to $74 million.</w:t>
      </w:r>
    </w:p>
    <w:p>
      <w:pPr>
        <w:spacing w:after="0" w:line="143" w:lineRule="exact"/>
        <w:rPr>
          <w:sz w:val="20"/>
          <w:szCs w:val="20"/>
          <w:color w:val="auto"/>
        </w:rPr>
      </w:pPr>
    </w:p>
    <w:p>
      <w:pPr>
        <w:ind w:left="520" w:hanging="515"/>
        <w:spacing w:after="0"/>
        <w:tabs>
          <w:tab w:leader="none" w:pos="5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current income tax provision represents the estimated amount of income taxes paid or payable for the year, as well as changes in estimates from prior years. The deferred income tax provision represents the change in deferred tax liabilities and assets. The following table presents the significant components of the provision for income taxes: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326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109,899</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59,308</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38,665</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15,444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11,541</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provision</w:t>
            </w: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135,952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74,752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50,206</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0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3260" w:type="dxa"/>
            <w:vAlign w:val="bottom"/>
            <w:gridSpan w:val="3"/>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(4,966)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w:t>
            </w: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(4,217)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provision (benefit)</w:t>
            </w:r>
          </w:p>
        </w:tc>
        <w:tc>
          <w:tcPr>
            <w:tcW w:w="2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8,977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(9,183)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8,737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00" w:type="dxa"/>
            <w:vAlign w:val="bottom"/>
            <w:tcBorders>
              <w:bottom w:val="single" w:sz="8" w:color="CCEEFF"/>
            </w:tcBorders>
          </w:tcPr>
          <w:p>
            <w:pPr>
              <w:spacing w:after="0"/>
              <w:rPr>
                <w:sz w:val="9"/>
                <w:szCs w:val="9"/>
                <w:color w:val="auto"/>
              </w:rPr>
            </w:pPr>
          </w:p>
        </w:tc>
        <w:tc>
          <w:tcPr>
            <w:tcW w:w="28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2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144,929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65,569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58,943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849"/>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38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0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2" w:name="page63"/>
    <w:bookmarkEnd w:id="62"/>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Company’s effective income tax rate, calculated by dividing income tax expense by income before taxes, was 25.2% for 2022, 25.7% for 2021 and 24.5% for 2020. The following table provides a reconciliation of income tax expense at the statutory federal rate to actual income tax expense: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82"/>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29"/>
        </w:trPr>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center"/>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Income</w:t>
            </w:r>
          </w:p>
        </w:tc>
        <w:tc>
          <w:tcPr>
            <w:tcW w:w="880" w:type="dxa"/>
            <w:vAlign w:val="bottom"/>
          </w:tcPr>
          <w:p>
            <w:pPr>
              <w:jc w:val="right"/>
              <w:ind w:right="109"/>
              <w:spacing w:after="0" w:line="129" w:lineRule="exact"/>
              <w:rPr>
                <w:sz w:val="20"/>
                <w:szCs w:val="20"/>
                <w:color w:val="auto"/>
              </w:rPr>
            </w:pPr>
            <w:r>
              <w:rPr>
                <w:rFonts w:ascii="Times New Roman" w:cs="Times New Roman" w:eastAsia="Times New Roman" w:hAnsi="Times New Roman"/>
                <w:sz w:val="14"/>
                <w:szCs w:val="14"/>
                <w:b w:val="1"/>
                <w:bCs w:val="1"/>
                <w:color w:val="auto"/>
              </w:rPr>
              <w:t>% pre-tax</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jc w:val="center"/>
              <w:ind w:right="5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20" w:type="dxa"/>
            <w:vAlign w:val="bottom"/>
          </w:tcPr>
          <w:p>
            <w:pPr>
              <w:jc w:val="center"/>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 pre-tax</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jc w:val="center"/>
              <w:ind w:right="5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880" w:type="dxa"/>
            <w:vAlign w:val="bottom"/>
          </w:tcPr>
          <w:p>
            <w:pPr>
              <w:jc w:val="right"/>
              <w:ind w:right="109"/>
              <w:spacing w:after="0" w:line="129" w:lineRule="exact"/>
              <w:rPr>
                <w:sz w:val="20"/>
                <w:szCs w:val="20"/>
                <w:color w:val="auto"/>
              </w:rPr>
            </w:pPr>
            <w:r>
              <w:rPr>
                <w:rFonts w:ascii="Times New Roman" w:cs="Times New Roman" w:eastAsia="Times New Roman" w:hAnsi="Times New Roman"/>
                <w:sz w:val="14"/>
                <w:szCs w:val="14"/>
                <w:b w:val="1"/>
                <w:bCs w:val="1"/>
                <w:color w:val="auto"/>
              </w:rPr>
              <w:t>% pre-tax</w:t>
            </w:r>
          </w:p>
        </w:tc>
        <w:tc>
          <w:tcPr>
            <w:tcW w:w="160" w:type="dxa"/>
            <w:vAlign w:val="bottom"/>
          </w:tcPr>
          <w:p>
            <w:pPr>
              <w:spacing w:after="0"/>
              <w:rPr>
                <w:sz w:val="11"/>
                <w:szCs w:val="11"/>
                <w:color w:val="auto"/>
              </w:rPr>
            </w:pPr>
          </w:p>
        </w:tc>
      </w:tr>
      <w:tr>
        <w:trPr>
          <w:trHeight w:val="18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6"/>
                <w:szCs w:val="16"/>
                <w:color w:val="auto"/>
              </w:rPr>
            </w:pPr>
          </w:p>
        </w:tc>
        <w:tc>
          <w:tcPr>
            <w:tcW w:w="13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6"/>
                <w:szCs w:val="16"/>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tax expense</w:t>
            </w: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6"/>
                <w:szCs w:val="16"/>
                <w:color w:val="auto"/>
              </w:rPr>
            </w:pPr>
          </w:p>
        </w:tc>
      </w:tr>
      <w:tr>
        <w:trPr>
          <w:trHeight w:val="173"/>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expense</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53,581</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50,618</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5"/>
                <w:szCs w:val="15"/>
                <w:color w:val="auto"/>
              </w:rPr>
            </w:pPr>
          </w:p>
        </w:tc>
      </w:tr>
      <w:tr>
        <w:trPr>
          <w:trHeight w:val="18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compensation</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5"/>
                <w:szCs w:val="15"/>
                <w:color w:val="auto"/>
              </w:rPr>
            </w:pPr>
          </w:p>
        </w:tc>
      </w:tr>
      <w:tr>
        <w:trPr>
          <w:trHeight w:val="18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Meals, entertainment and travel expense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5"/>
                <w:szCs w:val="15"/>
                <w:color w:val="auto"/>
              </w:rPr>
            </w:pPr>
          </w:p>
        </w:tc>
      </w:tr>
      <w:tr>
        <w:trPr>
          <w:trHeight w:val="18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for uncertain tax positions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r>
      <w:tr>
        <w:trPr>
          <w:trHeight w:val="18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Valuation allowance change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tcPr>
          <w:p>
            <w:pPr>
              <w:spacing w:after="0"/>
              <w:rPr>
                <w:sz w:val="15"/>
                <w:szCs w:val="15"/>
                <w:color w:val="auto"/>
              </w:rPr>
            </w:pPr>
          </w:p>
        </w:tc>
      </w:tr>
      <w:tr>
        <w:trPr>
          <w:trHeight w:val="18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 – Piedmont</w:t>
            </w:r>
          </w:p>
        </w:tc>
        <w:tc>
          <w:tcPr>
            <w:tcW w:w="14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5"/>
                <w:szCs w:val="15"/>
                <w:color w:val="auto"/>
              </w:rPr>
            </w:pPr>
          </w:p>
        </w:tc>
      </w:tr>
      <w:tr>
        <w:trPr>
          <w:trHeight w:val="180"/>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Borders>
              <w:bottom w:val="single" w:sz="8" w:color="auto"/>
            </w:tcBorders>
          </w:tcPr>
          <w:p>
            <w:pPr>
              <w:spacing w:after="0"/>
              <w:rPr>
                <w:sz w:val="15"/>
                <w:szCs w:val="15"/>
                <w:color w:val="auto"/>
              </w:rPr>
            </w:pPr>
          </w:p>
        </w:tc>
      </w:tr>
      <w:tr>
        <w:trPr>
          <w:trHeight w:val="196"/>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144,929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65,569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58,943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24.5 %</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Company’s effective income tax rate, calculated by dividing income tax expense by income before taxes minus net income attributable to noncontrolling interest, was 25.5% for 2020. The Company had no net income attributable to noncontrolling interest during 2022 or 2021.</w:t>
      </w:r>
    </w:p>
    <w:p>
      <w:pPr>
        <w:spacing w:after="0" w:line="14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records liabilities for uncertain tax positions related to income tax positions. These liabilities reflect the Company’s best estimate of the ultimate income tax liability based on known facts and information. Material changes in facts or information, as well as the expiration of statutes of limitations and/or settlements with individual tax jurisdictions, may result in material adjustments to these estimates in the future.</w:t>
      </w:r>
    </w:p>
    <w:p>
      <w:pPr>
        <w:spacing w:after="0" w:line="15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The Company recognizes potential interest and penalties related to uncertain tax positions in income tax expense. During 2022, 2021 and 2020, the interest and penalties related to uncertain tax positions recognized in income tax expense were not material. In addition, the amount of interest and penalties accrued at December 31, 2022 and December 31, 2021 were not material.</w:t>
      </w:r>
    </w:p>
    <w:p>
      <w:pPr>
        <w:spacing w:after="0" w:line="14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had uncertain tax positions, including accrued interest, of $0.3 million on December 31, 2022 and $1.7 million on December 31, 2021, all of which would affect the Company’s effective income tax rate if recognized. While it is expected the amount of uncertain tax positions may change in the next 12 months, the Company does not expect such change would have a material impact on the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uncertain tax positions, excluding accrued interest,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1"/>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 - gross uncertain tax positions</w:t>
            </w: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2,283</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as a result of tax positions taken in the current year</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as a result of tax positions taken in a prior year</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8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Reduction as a result of the expiration of the applicable statute of limitations</w:t>
            </w:r>
          </w:p>
        </w:tc>
        <w:tc>
          <w:tcPr>
            <w:tcW w:w="1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 gross uncertain tax positions</w:t>
            </w: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84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49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9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3" w:name="page64"/>
    <w:bookmarkEnd w:id="63"/>
    <w:p>
      <w:pPr>
        <w:ind w:right="760"/>
        <w:spacing w:after="0" w:line="287" w:lineRule="auto"/>
        <w:rPr>
          <w:sz w:val="20"/>
          <w:szCs w:val="20"/>
          <w:color w:val="auto"/>
        </w:rPr>
      </w:pPr>
      <w:r>
        <w:rPr>
          <w:rFonts w:ascii="Times New Roman" w:cs="Times New Roman" w:eastAsia="Times New Roman" w:hAnsi="Times New Roman"/>
          <w:sz w:val="14"/>
          <w:szCs w:val="14"/>
          <w:color w:val="auto"/>
        </w:rPr>
        <w:t>Deferred income taxes are recorded based upon temporary differences between the financial statement and tax bases of assets and liabilities and available net operating loss and tax credit carryforwards. Temporary differences and carryforwards that comprised deferred income tax assets and liabilities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related contingent consideration</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133,114</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35,382</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26,253</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26,852</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24,018</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Postretirement benefits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13,969</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Transactional costs</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Pension</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agreements</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r>
      <w:tr>
        <w:trPr>
          <w:trHeight w:val="171"/>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income tax assets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270,381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275,249</w:t>
            </w:r>
          </w:p>
        </w:tc>
      </w:tr>
      <w:tr>
        <w:trPr>
          <w:trHeight w:val="171"/>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Valuation allowance for deferred tax assets</w:t>
            </w:r>
          </w:p>
        </w:tc>
        <w:tc>
          <w:tcPr>
            <w:tcW w:w="22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w:t>
            </w:r>
          </w:p>
        </w:tc>
      </w:tr>
      <w:tr>
        <w:trPr>
          <w:trHeight w:val="171"/>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income tax asset</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266,953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270,877</w:t>
            </w:r>
          </w:p>
        </w:tc>
      </w:tr>
      <w:tr>
        <w:trPr>
          <w:trHeight w:val="150"/>
        </w:trPr>
        <w:tc>
          <w:tcPr>
            <w:tcW w:w="7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(182,174)</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(173,124)</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(177,214)</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Right-of-use assets - operating leases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(34,347)</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(13,481)</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Patronage dividend</w:t>
            </w:r>
          </w:p>
        </w:tc>
        <w:tc>
          <w:tcPr>
            <w:tcW w:w="2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r>
      <w:tr>
        <w:trPr>
          <w:trHeight w:val="171"/>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income tax liabilities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(417,175)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(407,309)</w:t>
            </w:r>
          </w:p>
        </w:tc>
      </w:tr>
      <w:tr>
        <w:trPr>
          <w:trHeight w:val="150"/>
        </w:trPr>
        <w:tc>
          <w:tcPr>
            <w:tcW w:w="7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spacing w:after="0"/>
              <w:rPr>
                <w:sz w:val="13"/>
                <w:szCs w:val="13"/>
                <w:color w:val="auto"/>
              </w:rPr>
            </w:pP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income tax liability</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(150,222)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(136,432)</w:t>
            </w: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Company’s deferred income tax assets and liabilities are subject to adjustment in future periods based on the Company’s ongoing evaluations of such deferred assets and liabilities and new information available to the Company.</w:t>
      </w:r>
    </w:p>
    <w:p>
      <w:pPr>
        <w:spacing w:after="0" w:line="14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Valuation allowances are recognized on deferred tax assets if the Company believes it is more likely than not that some or all of the deferred tax assets will not be realized. The Company believes the majority of the deferred tax assets will be realized due to the reversal of certain significant temporary differences and anticipated future taxable income from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valuation allowance of $3.4 million on December 31, 2022 and $4.4 million on December 31, 2021 was established primarily for certain loss carryforwards and deferred compensation.</w:t>
      </w:r>
    </w:p>
    <w:p>
      <w:pPr>
        <w:spacing w:after="0" w:line="20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As of December 31, 2022, the Company had no federal net operating losses and $12.0 million of state net operating losses available to reduce future income taxes, which expire in varying amounts through 2042.</w:t>
      </w:r>
    </w:p>
    <w:p>
      <w:pPr>
        <w:spacing w:after="0" w:line="14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Prior tax years beginning in year 2019 remain open to examination by the Internal Revenue Service, and various tax years beginning in year 1999 remain open to examination by certain state tax jurisdictions due to loss carryforwards.</w:t>
      </w:r>
    </w:p>
    <w:p>
      <w:pPr>
        <w:spacing w:after="0" w:line="143" w:lineRule="exact"/>
        <w:rPr>
          <w:sz w:val="20"/>
          <w:szCs w:val="20"/>
          <w:color w:val="auto"/>
        </w:rPr>
      </w:pPr>
    </w:p>
    <w:p>
      <w:pPr>
        <w:ind w:left="640" w:hanging="635"/>
        <w:spacing w:after="0"/>
        <w:tabs>
          <w:tab w:leader="none" w:pos="64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Benefit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Benefit Plans</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addition to the Company’s Director Deferral Plan, the Company has four executive benefit plans: the Supplemental Savings Incentive Plan, the Long-Term Retention Plan, the Officer Retention Plan and the Long-Term Performance Plan. The Company also has a Long-Term Performance Equity Plan, as discussed in Note 2.</w:t>
      </w:r>
    </w:p>
    <w:p>
      <w:pPr>
        <w:spacing w:after="0" w:line="14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Pursuant to the Supplemental Savings Incentive Plan, as amended and restated effective November 1, 2011, and as further amended thereafter, eligible participants may elect to defer a portion of their annual salary and bonus. Participants are immediately vested in all deferred contributions they make and become fully vested in Company contributions upon completion of five years of service with the Company, termination of employment due to death or retirement or a change in control. Participant deferrals and Company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4" w:name="page65"/>
    <w:bookmarkEnd w:id="64"/>
    <w:p>
      <w:pPr>
        <w:ind w:right="200"/>
        <w:spacing w:after="0" w:line="270" w:lineRule="auto"/>
        <w:rPr>
          <w:sz w:val="20"/>
          <w:szCs w:val="20"/>
          <w:color w:val="auto"/>
        </w:rPr>
      </w:pPr>
      <w:r>
        <w:rPr>
          <w:rFonts w:ascii="Times New Roman" w:cs="Times New Roman" w:eastAsia="Times New Roman" w:hAnsi="Times New Roman"/>
          <w:sz w:val="14"/>
          <w:szCs w:val="14"/>
          <w:color w:val="auto"/>
        </w:rPr>
        <w:t>contributions made in years prior to 2006 are invested in either a fixed benefit option or certain investment funds determined by the participant. Beginning in 2010, the Company may elect at its discretion to match up to 50% of the first 6% of salary, excluding bonuses, deferred by the participant. During 2022, 2021 and 2020, the Company matched 50% of the first 6% of salary, excluding bonuses, deferred by the participant. The Company may also make discretionary contributions to participants’ accounts.</w:t>
      </w:r>
    </w:p>
    <w:p>
      <w:pPr>
        <w:spacing w:after="0" w:line="1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Under the Director Deferral Plan, as amended and restated effective January 1, 2014, non-employee directors may defer payment of all or a portion of their annual retainer and meeting fees. There is no Company matching contribution under the Director Deferral Plan. The liability under these two deferral plans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10,111</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74,976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84,664</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liability - Supplemental Savings Incentive Plan and Director Deferral Plan</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83,123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94,775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Under the Long-Term Retention Plan, effective March 5, 2014, and as amended thereafter, the Company accrues a defined amount each year for an eligible participant based upon an award schedule. Amounts awarded may earn an investment return based on certain investment funds specified by the Company. Benefits under the Long-Term Retention Plan are 50% vested until age 51. Beginning at age 51, the vesting percentage increases by 5% each year until the benefits are fully vested at age 60. Participants receive payments from the plan upon retirement or, in certain instances, upon termination of employment. Payments are made in the form of monthly installments over a period of 10, 15 or 20 years. The liability under this plan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6,815</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liability - Long-Term Retention Plan</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7,422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6,993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Under the Officer Retention Plan, as amended and restated effective January 1, 2007, and as further amended thereafter, eligible participants may elect to receive an annuity payable in equal monthly installments over a 10-, 15- or 20-year period commencing at retirement or, in certain instances, upon termination of employment. The benefits under the Officer Retention Plan increase with each year of participation as set forth in an agreement between the participant and the Company. Benefits under the Officer Retention Plan are 50% vested until age 51. Beginning at age 51, the vesting percentage increases by 5% each year until the benefits are fully vested at age 60. The liability under this plan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35,959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37,008</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liability - Officer Retention Plan</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39,689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41,044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Under the Long-Term Performance Plan, as amended and restated effective January 1, 2018, and as further amended thereafter, the Compensation Committee of the Company’s Board of Directors establishes dollar amounts to which a participant shall be entitled upon attainment of the applicable performance measures. Bonus awards under the Long-Term Performance Plan are made based on the relative achievement of performance measures in terms of the Company-sponsored objectives or objectives related to the performance of the individual participant or of the subsidiary, division, department, region or function in which the participant is employed. The liability under this plan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8,247</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7,675</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liability - Long-Term Performance Plan</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17,411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15,922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Pension Plans</w:t>
      </w:r>
    </w:p>
    <w:p>
      <w:pPr>
        <w:spacing w:after="0" w:line="20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There are two Company-sponsored pension plans. The Primary Plan was frozen as of June 30, 2006 and no benefits accrued to participants after that date. The Bargaining Plan is for certain employees under collective bargaining agreements. Benefits under the Bargaining Plan are determined in accordance with negotiated formulas for the respective participants. Contributions to the plans are based on actuarially determined amounts and are limited to the amounts currently deductible for income tax purposes. The Company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updates its mortality assumptions used in the calculation of its pension liability each year using The Society of Actuaries’ latest mortality tables and mortality projection scales.</w:t>
      </w:r>
    </w:p>
    <w:p>
      <w:pPr>
        <w:spacing w:after="0" w:line="200"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4"/>
          <w:szCs w:val="14"/>
          <w:color w:val="auto"/>
        </w:rPr>
        <w:t>During 2022, the Company began the process of terminating the Primary Plan. During 2023, the Company expects to offer a lump sum benefit payout option to certain plan participants prior to completing the purchase of group annuity contracts that will transfer the pension benefit obligation to an insurance company. The assumptions used to estimate the fair value during the annual measurement reflect the incremental cost to terminate the Primary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set forth pertinent information for the two Company-sponsored pension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40" w:type="dxa"/>
            <w:vAlign w:val="bottom"/>
            <w:tcBorders>
              <w:bottom w:val="single" w:sz="8" w:color="auto"/>
            </w:tcBorders>
          </w:tcPr>
          <w:p>
            <w:pPr>
              <w:spacing w:after="0"/>
              <w:rPr>
                <w:sz w:val="16"/>
                <w:szCs w:val="16"/>
                <w:color w:val="auto"/>
              </w:rPr>
            </w:pP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Pr>
          <w:p>
            <w:pPr>
              <w:spacing w:after="0"/>
              <w:rPr>
                <w:sz w:val="14"/>
                <w:szCs w:val="14"/>
                <w:color w:val="auto"/>
              </w:rPr>
            </w:pPr>
          </w:p>
        </w:tc>
        <w:tc>
          <w:tcPr>
            <w:tcW w:w="142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 - projected benefit obligation</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359,475</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368,245</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7,529</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9,846</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 amendments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(93,626)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(12,735)</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(13,410)</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 projected benefit obligation</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270,143</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359,475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Changes in Projected Benefit Obligation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projected benefit obligation and the accumulated benefit obligation for both Company-sponsored pension plans were in excess of plan assets as of December 31, 2022 and December 31,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accumulated benefit obligation was $270.1 million on December 31, 2022 and $359.5 million on December 31, 2021.</w:t>
      </w:r>
    </w:p>
    <w:p>
      <w:pPr>
        <w:spacing w:after="0" w:line="18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increase in the discount rates for both the Primary Plan and the Bargaining Plan, as compared to the previous years, was the primary driver of the actuarial gains in both 2022 and 2021. The actuarial gains, net of tax, were recorded in accumulated other comprehensive loss in the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Change in Plan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71"/>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 - plan assets at fair value</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328,250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319,699</w:t>
            </w:r>
          </w:p>
        </w:tc>
        <w:tc>
          <w:tcPr>
            <w:tcW w:w="0" w:type="dxa"/>
            <w:vAlign w:val="bottom"/>
          </w:tcPr>
          <w:p>
            <w:pPr>
              <w:spacing w:after="0"/>
              <w:rPr>
                <w:sz w:val="1"/>
                <w:szCs w:val="1"/>
                <w:color w:val="auto"/>
              </w:rPr>
            </w:pPr>
          </w:p>
        </w:tc>
      </w:tr>
      <w:tr>
        <w:trPr>
          <w:trHeight w:val="180"/>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16,427</w:t>
            </w:r>
          </w:p>
        </w:tc>
        <w:tc>
          <w:tcPr>
            <w:tcW w:w="0" w:type="dxa"/>
            <w:vAlign w:val="bottom"/>
          </w:tcPr>
          <w:p>
            <w:pPr>
              <w:spacing w:after="0"/>
              <w:rPr>
                <w:sz w:val="1"/>
                <w:szCs w:val="1"/>
                <w:color w:val="auto"/>
              </w:rPr>
            </w:pPr>
          </w:p>
        </w:tc>
      </w:tr>
      <w:tr>
        <w:trPr>
          <w:trHeight w:val="180"/>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Employer contributions</w:t>
            </w:r>
          </w:p>
        </w:tc>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0" w:type="dxa"/>
            <w:vAlign w:val="bottom"/>
          </w:tcPr>
          <w:p>
            <w:pPr>
              <w:spacing w:after="0"/>
              <w:rPr>
                <w:sz w:val="1"/>
                <w:szCs w:val="1"/>
                <w:color w:val="auto"/>
              </w:rPr>
            </w:pPr>
          </w:p>
        </w:tc>
      </w:tr>
      <w:tr>
        <w:trPr>
          <w:trHeight w:val="180"/>
        </w:trPr>
        <w:tc>
          <w:tcPr>
            <w:tcW w:w="4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Benefits and expenses paid</w:t>
            </w:r>
          </w:p>
        </w:tc>
        <w:tc>
          <w:tcPr>
            <w:tcW w:w="2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(14,676)</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 plan assets at fair value</w:t>
            </w:r>
          </w:p>
        </w:tc>
        <w:tc>
          <w:tcPr>
            <w:tcW w:w="2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261,942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328,250</w:t>
            </w:r>
          </w:p>
        </w:tc>
        <w:tc>
          <w:tcPr>
            <w:tcW w:w="0" w:type="dxa"/>
            <w:vAlign w:val="bottom"/>
          </w:tcPr>
          <w:p>
            <w:pPr>
              <w:spacing w:after="0"/>
              <w:rPr>
                <w:sz w:val="1"/>
                <w:szCs w:val="1"/>
                <w:color w:val="auto"/>
              </w:rPr>
            </w:pPr>
          </w:p>
        </w:tc>
      </w:tr>
      <w:tr>
        <w:trPr>
          <w:trHeight w:val="20"/>
        </w:trPr>
        <w:tc>
          <w:tcPr>
            <w:tcW w:w="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Funded Status</w:t>
            </w:r>
          </w:p>
        </w:tc>
        <w:tc>
          <w:tcPr>
            <w:tcW w:w="36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820" w:type="dxa"/>
            <w:vAlign w:val="bottom"/>
            <w:tcBorders>
              <w:bottom w:val="single" w:sz="8" w:color="auto"/>
            </w:tcBorders>
            <w:vMerge w:val="continue"/>
          </w:tcPr>
          <w:p>
            <w:pPr>
              <w:spacing w:after="0"/>
              <w:rPr>
                <w:sz w:val="24"/>
                <w:szCs w:val="24"/>
                <w:color w:val="auto"/>
              </w:rPr>
            </w:pPr>
          </w:p>
        </w:tc>
        <w:tc>
          <w:tcPr>
            <w:tcW w:w="3600" w:type="dxa"/>
            <w:vAlign w:val="bottom"/>
            <w:gridSpan w:val="2"/>
            <w:vMerge w:val="continue"/>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40" w:type="dxa"/>
            <w:vAlign w:val="bottom"/>
          </w:tcPr>
          <w:p>
            <w:pPr>
              <w:spacing w:after="0"/>
              <w:rPr>
                <w:sz w:val="24"/>
                <w:szCs w:val="24"/>
                <w:color w:val="auto"/>
              </w:rPr>
            </w:pPr>
          </w:p>
        </w:tc>
        <w:tc>
          <w:tcPr>
            <w:tcW w:w="154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1"/>
        </w:trPr>
        <w:tc>
          <w:tcPr>
            <w:tcW w:w="44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2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(270,143)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(359,475)</w:t>
            </w:r>
          </w:p>
        </w:tc>
        <w:tc>
          <w:tcPr>
            <w:tcW w:w="0" w:type="dxa"/>
            <w:vAlign w:val="bottom"/>
          </w:tcPr>
          <w:p>
            <w:pPr>
              <w:spacing w:after="0"/>
              <w:rPr>
                <w:sz w:val="1"/>
                <w:szCs w:val="1"/>
                <w:color w:val="auto"/>
              </w:rPr>
            </w:pPr>
          </w:p>
        </w:tc>
      </w:tr>
      <w:tr>
        <w:trPr>
          <w:trHeight w:val="180"/>
        </w:trPr>
        <w:tc>
          <w:tcPr>
            <w:tcW w:w="4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Plan assets at fair value</w:t>
            </w:r>
          </w:p>
        </w:tc>
        <w:tc>
          <w:tcPr>
            <w:tcW w:w="2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261,942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328,250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funded status</w:t>
            </w:r>
          </w:p>
        </w:tc>
        <w:tc>
          <w:tcPr>
            <w:tcW w:w="30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(8,201)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(31,225)</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Amounts Recognized in the Consolidated Balance Sheets</w:t>
            </w:r>
          </w:p>
        </w:tc>
        <w:tc>
          <w:tcPr>
            <w:tcW w:w="1160" w:type="dxa"/>
            <w:vAlign w:val="bottom"/>
            <w:tcBorders>
              <w:top w:val="single" w:sz="8" w:color="CCEEFF"/>
              <w:bottom w:val="single" w:sz="8" w:color="CCEEFF"/>
            </w:tcBorders>
            <w:vMerge w:val="restart"/>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260" w:type="dxa"/>
            <w:vAlign w:val="bottom"/>
            <w:tcBorders>
              <w:bottom w:val="single" w:sz="8" w:color="auto"/>
            </w:tcBorders>
            <w:gridSpan w:val="2"/>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40" w:type="dxa"/>
            <w:vAlign w:val="bottom"/>
          </w:tcPr>
          <w:p>
            <w:pPr>
              <w:spacing w:after="0"/>
              <w:rPr>
                <w:sz w:val="24"/>
                <w:szCs w:val="24"/>
                <w:color w:val="auto"/>
              </w:rPr>
            </w:pPr>
          </w:p>
        </w:tc>
        <w:tc>
          <w:tcPr>
            <w:tcW w:w="154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1"/>
        </w:trPr>
        <w:tc>
          <w:tcPr>
            <w:tcW w:w="44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(31,225)</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liability - pension plans</w:t>
            </w:r>
          </w:p>
        </w:tc>
        <w:tc>
          <w:tcPr>
            <w:tcW w:w="30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(8,201)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(31,225)</w:t>
            </w: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549"/>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2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auto"/>
        </w:rPr>
        <w:t>Net Periodic Pension Cost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60" w:type="dxa"/>
            <w:vAlign w:val="bottom"/>
          </w:tcPr>
          <w:p>
            <w:pPr>
              <w:spacing w:after="0"/>
              <w:rPr>
                <w:sz w:val="14"/>
                <w:szCs w:val="14"/>
                <w:color w:val="auto"/>
              </w:rPr>
            </w:pPr>
          </w:p>
        </w:tc>
        <w:tc>
          <w:tcPr>
            <w:tcW w:w="88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1"/>
        </w:trPr>
        <w:tc>
          <w:tcPr>
            <w:tcW w:w="66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7,529</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6,331</w:t>
            </w:r>
          </w:p>
        </w:tc>
        <w:tc>
          <w:tcPr>
            <w:tcW w:w="0" w:type="dxa"/>
            <w:vAlign w:val="bottom"/>
          </w:tcPr>
          <w:p>
            <w:pPr>
              <w:spacing w:after="0"/>
              <w:rPr>
                <w:sz w:val="1"/>
                <w:szCs w:val="1"/>
                <w:color w:val="auto"/>
              </w:rPr>
            </w:pPr>
          </w:p>
        </w:tc>
      </w:tr>
      <w:tr>
        <w:trPr>
          <w:trHeight w:val="180"/>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5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9,846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10,957</w:t>
            </w:r>
          </w:p>
        </w:tc>
        <w:tc>
          <w:tcPr>
            <w:tcW w:w="0" w:type="dxa"/>
            <w:vAlign w:val="bottom"/>
          </w:tcPr>
          <w:p>
            <w:pPr>
              <w:spacing w:after="0"/>
              <w:rPr>
                <w:sz w:val="1"/>
                <w:szCs w:val="1"/>
                <w:color w:val="auto"/>
              </w:rPr>
            </w:pPr>
          </w:p>
        </w:tc>
      </w:tr>
      <w:tr>
        <w:trPr>
          <w:trHeight w:val="180"/>
        </w:trPr>
        <w:tc>
          <w:tcPr>
            <w:tcW w:w="6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5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0" w:type="dxa"/>
            <w:vAlign w:val="bottom"/>
          </w:tcPr>
          <w:p>
            <w:pPr>
              <w:spacing w:after="0"/>
              <w:rPr>
                <w:sz w:val="1"/>
                <w:szCs w:val="1"/>
                <w:color w:val="auto"/>
              </w:rPr>
            </w:pPr>
          </w:p>
        </w:tc>
      </w:tr>
      <w:tr>
        <w:trPr>
          <w:trHeight w:val="180"/>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Recognized net actuarial loss</w:t>
            </w:r>
          </w:p>
        </w:tc>
        <w:tc>
          <w:tcPr>
            <w:tcW w:w="5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4,619</w:t>
            </w:r>
          </w:p>
        </w:tc>
        <w:tc>
          <w:tcPr>
            <w:tcW w:w="0" w:type="dxa"/>
            <w:vAlign w:val="bottom"/>
          </w:tcPr>
          <w:p>
            <w:pPr>
              <w:spacing w:after="0"/>
              <w:rPr>
                <w:sz w:val="1"/>
                <w:szCs w:val="1"/>
                <w:color w:val="auto"/>
              </w:rPr>
            </w:pPr>
          </w:p>
        </w:tc>
      </w:tr>
      <w:tr>
        <w:trPr>
          <w:trHeight w:val="180"/>
        </w:trPr>
        <w:tc>
          <w:tcPr>
            <w:tcW w:w="6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costs</w:t>
            </w: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periodic pension cost</w:t>
            </w: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13,075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9,332</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8,309</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Significant Assumptions</w:t>
            </w: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74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40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1"/>
        </w:trPr>
        <w:tc>
          <w:tcPr>
            <w:tcW w:w="67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Projected benefit obligation at the measurement date:</w:t>
            </w: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Discount rate - Primary Plan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5.33 %</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100" w:type="dxa"/>
            <w:vAlign w:val="bottom"/>
          </w:tcPr>
          <w:p>
            <w:pPr>
              <w:spacing w:after="0"/>
              <w:rPr>
                <w:sz w:val="15"/>
                <w:szCs w:val="15"/>
                <w:color w:val="auto"/>
              </w:rPr>
            </w:pPr>
          </w:p>
        </w:tc>
        <w:tc>
          <w:tcPr>
            <w:tcW w:w="122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2.66 %</w:t>
            </w:r>
          </w:p>
        </w:tc>
        <w:tc>
          <w:tcPr>
            <w:tcW w:w="0" w:type="dxa"/>
            <w:vAlign w:val="bottom"/>
          </w:tcPr>
          <w:p>
            <w:pPr>
              <w:spacing w:after="0"/>
              <w:rPr>
                <w:sz w:val="1"/>
                <w:szCs w:val="1"/>
                <w:color w:val="auto"/>
              </w:rPr>
            </w:pPr>
          </w:p>
        </w:tc>
      </w:tr>
      <w:tr>
        <w:trPr>
          <w:trHeight w:val="180"/>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Discount rate - Bargaining Plan</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5.34 %</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3.12 %</w:t>
            </w:r>
          </w:p>
        </w:tc>
        <w:tc>
          <w:tcPr>
            <w:tcW w:w="0" w:type="dxa"/>
            <w:vAlign w:val="bottom"/>
          </w:tcPr>
          <w:p>
            <w:pPr>
              <w:spacing w:after="0"/>
              <w:rPr>
                <w:sz w:val="1"/>
                <w:szCs w:val="1"/>
                <w:color w:val="auto"/>
              </w:rPr>
            </w:pPr>
          </w:p>
        </w:tc>
      </w:tr>
      <w:tr>
        <w:trPr>
          <w:trHeight w:val="180"/>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Weighted average rate of compensation increase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6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periodic pension cost for the fiscal year:</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Discount rate - Primary Plan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00" w:type="dxa"/>
            <w:vAlign w:val="bottom"/>
          </w:tcPr>
          <w:p>
            <w:pPr>
              <w:spacing w:after="0"/>
              <w:rPr>
                <w:sz w:val="15"/>
                <w:szCs w:val="15"/>
                <w:color w:val="auto"/>
              </w:rPr>
            </w:pPr>
          </w:p>
        </w:tc>
        <w:tc>
          <w:tcPr>
            <w:tcW w:w="122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3.36 %</w:t>
            </w:r>
          </w:p>
        </w:tc>
        <w:tc>
          <w:tcPr>
            <w:tcW w:w="0" w:type="dxa"/>
            <w:vAlign w:val="bottom"/>
          </w:tcPr>
          <w:p>
            <w:pPr>
              <w:spacing w:after="0"/>
              <w:rPr>
                <w:sz w:val="1"/>
                <w:szCs w:val="1"/>
                <w:color w:val="auto"/>
              </w:rPr>
            </w:pPr>
          </w:p>
        </w:tc>
      </w:tr>
      <w:tr>
        <w:trPr>
          <w:trHeight w:val="180"/>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Discount rate - Bargaining Plan</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3.61 %</w:t>
            </w:r>
          </w:p>
        </w:tc>
        <w:tc>
          <w:tcPr>
            <w:tcW w:w="0" w:type="dxa"/>
            <w:vAlign w:val="bottom"/>
          </w:tcPr>
          <w:p>
            <w:pPr>
              <w:spacing w:after="0"/>
              <w:rPr>
                <w:sz w:val="1"/>
                <w:szCs w:val="1"/>
                <w:color w:val="auto"/>
              </w:rPr>
            </w:pPr>
          </w:p>
        </w:tc>
      </w:tr>
      <w:tr>
        <w:trPr>
          <w:trHeight w:val="180"/>
        </w:trPr>
        <w:tc>
          <w:tcPr>
            <w:tcW w:w="6740" w:type="dxa"/>
            <w:vAlign w:val="bottom"/>
            <w:gridSpan w:val="3"/>
          </w:tcPr>
          <w:p>
            <w:pPr>
              <w:ind w:left="180"/>
              <w:spacing w:after="0" w:line="181" w:lineRule="exact"/>
              <w:rPr>
                <w:sz w:val="20"/>
                <w:szCs w:val="20"/>
                <w:color w:val="auto"/>
              </w:rPr>
            </w:pPr>
            <w:r>
              <w:rPr>
                <w:rFonts w:ascii="Times New Roman" w:cs="Times New Roman" w:eastAsia="Times New Roman" w:hAnsi="Times New Roman"/>
                <w:sz w:val="14"/>
                <w:szCs w:val="14"/>
                <w:color w:val="auto"/>
              </w:rPr>
              <w:t>Weighted average expected long-term rate of return of plan assets - Primary Plan</w:t>
            </w:r>
            <w:r>
              <w:rPr>
                <w:rFonts w:ascii="Times New Roman" w:cs="Times New Roman" w:eastAsia="Times New Roman" w:hAnsi="Times New Roman"/>
                <w:sz w:val="18"/>
                <w:szCs w:val="18"/>
                <w:color w:val="auto"/>
                <w:vertAlign w:val="superscript"/>
              </w:rPr>
              <w:t>(1)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100" w:type="dxa"/>
            <w:vAlign w:val="bottom"/>
          </w:tcPr>
          <w:p>
            <w:pPr>
              <w:spacing w:after="0"/>
              <w:rPr>
                <w:sz w:val="15"/>
                <w:szCs w:val="15"/>
                <w:color w:val="auto"/>
              </w:rPr>
            </w:pPr>
          </w:p>
        </w:tc>
        <w:tc>
          <w:tcPr>
            <w:tcW w:w="122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5.50 %</w:t>
            </w:r>
          </w:p>
        </w:tc>
        <w:tc>
          <w:tcPr>
            <w:tcW w:w="0" w:type="dxa"/>
            <w:vAlign w:val="bottom"/>
          </w:tcPr>
          <w:p>
            <w:pPr>
              <w:spacing w:after="0"/>
              <w:rPr>
                <w:sz w:val="1"/>
                <w:szCs w:val="1"/>
                <w:color w:val="auto"/>
              </w:rPr>
            </w:pPr>
          </w:p>
        </w:tc>
      </w:tr>
      <w:tr>
        <w:trPr>
          <w:trHeight w:val="180"/>
        </w:trPr>
        <w:tc>
          <w:tcPr>
            <w:tcW w:w="6740" w:type="dxa"/>
            <w:vAlign w:val="bottom"/>
            <w:gridSpan w:val="3"/>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Weighted average expected long-term rate of return of plan assets - Bargaining Plan</w:t>
            </w:r>
            <w:r>
              <w:rPr>
                <w:rFonts w:ascii="Times New Roman" w:cs="Times New Roman" w:eastAsia="Times New Roman" w:hAnsi="Times New Roman"/>
                <w:sz w:val="18"/>
                <w:szCs w:val="18"/>
                <w:color w:val="auto"/>
                <w:vertAlign w:val="superscript"/>
              </w:rPr>
              <w:t>(1)</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6.25 %</w:t>
            </w:r>
          </w:p>
        </w:tc>
        <w:tc>
          <w:tcPr>
            <w:tcW w:w="0" w:type="dxa"/>
            <w:vAlign w:val="bottom"/>
          </w:tcPr>
          <w:p>
            <w:pPr>
              <w:spacing w:after="0"/>
              <w:rPr>
                <w:sz w:val="1"/>
                <w:szCs w:val="1"/>
                <w:color w:val="auto"/>
              </w:rPr>
            </w:pPr>
          </w:p>
        </w:tc>
      </w:tr>
      <w:tr>
        <w:trPr>
          <w:trHeight w:val="184"/>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Weighted average rate of compensation increase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60" w:right="120" w:hanging="255"/>
        <w:spacing w:after="0" w:line="230" w:lineRule="auto"/>
        <w:tabs>
          <w:tab w:leader="none" w:pos="25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weighted average expected long-term rate of return assumption for the pension plan assets, which was used to compute net periodic pension cost, is based upon target asset allocation and is determined using forward-looking performance and duration assumptions set at the beginning of each fiscal year.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Flows</w:t>
            </w:r>
          </w:p>
        </w:tc>
        <w:tc>
          <w:tcPr>
            <w:tcW w:w="34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66"/>
        </w:trPr>
        <w:tc>
          <w:tcPr>
            <w:tcW w:w="660" w:type="dxa"/>
            <w:vAlign w:val="bottom"/>
            <w:tcBorders>
              <w:top w:val="single" w:sz="8" w:color="auto"/>
            </w:tcBorders>
          </w:tcPr>
          <w:p>
            <w:pPr>
              <w:spacing w:after="0"/>
              <w:rPr>
                <w:sz w:val="24"/>
                <w:szCs w:val="24"/>
                <w:color w:val="auto"/>
              </w:rPr>
            </w:pPr>
          </w:p>
        </w:tc>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Anticipated Future Pension Benefit</w:t>
            </w:r>
          </w:p>
        </w:tc>
      </w:tr>
      <w:tr>
        <w:trPr>
          <w:trHeight w:val="186"/>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40" w:type="dxa"/>
            <w:vAlign w:val="bottom"/>
          </w:tcPr>
          <w:p>
            <w:pPr>
              <w:spacing w:after="0"/>
              <w:rPr>
                <w:sz w:val="16"/>
                <w:szCs w:val="16"/>
                <w:color w:val="auto"/>
              </w:rPr>
            </w:pPr>
          </w:p>
        </w:tc>
        <w:tc>
          <w:tcPr>
            <w:tcW w:w="29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Payments for the Fiscal Years</w:t>
            </w:r>
          </w:p>
        </w:tc>
      </w:tr>
      <w:tr>
        <w:trPr>
          <w:trHeight w:val="171"/>
        </w:trPr>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7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237,899</w:t>
            </w:r>
          </w:p>
        </w:tc>
      </w:tr>
      <w:tr>
        <w:trPr>
          <w:trHeight w:val="180"/>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7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w:t>
            </w:r>
          </w:p>
        </w:tc>
      </w:tr>
      <w:tr>
        <w:trPr>
          <w:trHeight w:val="180"/>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7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r>
      <w:tr>
        <w:trPr>
          <w:trHeight w:val="180"/>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7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r>
      <w:tr>
        <w:trPr>
          <w:trHeight w:val="180"/>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7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r>
      <w:tr>
        <w:trPr>
          <w:trHeight w:val="184"/>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2028 - 2032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11,892</w:t>
            </w:r>
          </w:p>
        </w:tc>
      </w:tr>
    </w:tbl>
    <w:p>
      <w:pPr>
        <w:spacing w:after="0" w:line="24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anticipated future pension benefit payments for 2023 include the payments associated with the termination of the Primary Plan, which will be made from the related plan assets. The remaining anticipated future pension benefit payments for 2023, and all anticipated future pension benefit payments beyond 2023, relate to the Bargaining Plan.</w:t>
      </w:r>
    </w:p>
    <w:p>
      <w:pPr>
        <w:spacing w:after="0" w:line="14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expects to make cash contributions of approximately $5 million to $10 million to the Primary Plan during 2023 to fund the termination of the Primary Plan. The Company also expects to make cash contributions of approximately $5 million to $10 million to the Bargaining Plan during 2023 to fund the ongoing projected benefit obligation of the Bargaining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Plan Assets</w:t>
      </w:r>
    </w:p>
    <w:p>
      <w:pPr>
        <w:spacing w:after="0" w:line="20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All assets in the Company’s pension plans are invested in institutional investment funds managed by professional investment advisors which hold U.S. equities, international equities and debt securities. The objective of the Company’s investment philosophy is to earn the plans’ targeted rate of return over longer periods without assuming excess investment risk. The weighted average expected long-term rate of return assumption for the pension plan assets, which will be used to compute 2023 net periodic pension cost, is based upon target asset allocation and is determined using forward-looking performance and duration assumptions in the context of historical returns and volatilities for each asset class. The Company evaluates the rate of return assumption on an annual basis. The Company’s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actual asset allocation at December 31, 2022 and December 31, 2021 and target asset allocation for 2023 by asset category for the Primary Plan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 of Plan</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Target Asset</w:t>
            </w:r>
          </w:p>
        </w:tc>
        <w:tc>
          <w:tcPr>
            <w:tcW w:w="160" w:type="dxa"/>
            <w:vAlign w:val="bottom"/>
          </w:tcPr>
          <w:p>
            <w:pPr>
              <w:spacing w:after="0"/>
              <w:rPr>
                <w:sz w:val="13"/>
                <w:szCs w:val="13"/>
                <w:color w:val="auto"/>
              </w:rPr>
            </w:pPr>
          </w:p>
        </w:tc>
      </w:tr>
      <w:tr>
        <w:trPr>
          <w:trHeight w:val="188"/>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Assets at Fiscal Year-End</w:t>
            </w: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60" w:type="dxa"/>
            <w:vAlign w:val="bottom"/>
            <w:tcBorders>
              <w:bottom w:val="single" w:sz="8" w:color="auto"/>
            </w:tcBorders>
          </w:tcPr>
          <w:p>
            <w:pPr>
              <w:spacing w:after="0"/>
              <w:rPr>
                <w:sz w:val="16"/>
                <w:szCs w:val="16"/>
                <w:color w:val="auto"/>
              </w:rPr>
            </w:pPr>
          </w:p>
        </w:tc>
      </w:tr>
      <w:tr>
        <w:trPr>
          <w:trHeight w:val="173"/>
        </w:trPr>
        <w:tc>
          <w:tcPr>
            <w:tcW w:w="5240" w:type="dxa"/>
            <w:vAlign w:val="bottom"/>
            <w:gridSpan w:val="2"/>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r>
      <w:tr>
        <w:trPr>
          <w:trHeight w:val="171"/>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debt securities</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U.S. equity securities</w:t>
            </w:r>
          </w:p>
        </w:tc>
        <w:tc>
          <w:tcPr>
            <w:tcW w:w="164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debt securities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International equity securities</w:t>
            </w:r>
          </w:p>
        </w:tc>
        <w:tc>
          <w:tcPr>
            <w:tcW w:w="164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71"/>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10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r>
      <w:tr>
        <w:trPr>
          <w:trHeight w:val="20"/>
        </w:trPr>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actual asset allocation at December 31, 2022 and December 31, 2021 and target asset allocation for 2023 by asset category for the Bargaining Plan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 of Plan</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Target Asset</w:t>
            </w:r>
          </w:p>
        </w:tc>
        <w:tc>
          <w:tcPr>
            <w:tcW w:w="160" w:type="dxa"/>
            <w:vAlign w:val="bottom"/>
          </w:tcPr>
          <w:p>
            <w:pPr>
              <w:spacing w:after="0"/>
              <w:rPr>
                <w:sz w:val="13"/>
                <w:szCs w:val="13"/>
                <w:color w:val="auto"/>
              </w:rPr>
            </w:pPr>
          </w:p>
        </w:tc>
      </w:tr>
      <w:tr>
        <w:trPr>
          <w:trHeight w:val="188"/>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Assets at Fiscal Year-End</w:t>
            </w: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60" w:type="dxa"/>
            <w:vAlign w:val="bottom"/>
            <w:tcBorders>
              <w:bottom w:val="single" w:sz="8" w:color="auto"/>
            </w:tcBorders>
          </w:tcPr>
          <w:p>
            <w:pPr>
              <w:spacing w:after="0"/>
              <w:rPr>
                <w:sz w:val="16"/>
                <w:szCs w:val="16"/>
                <w:color w:val="auto"/>
              </w:rPr>
            </w:pPr>
          </w:p>
        </w:tc>
      </w:tr>
      <w:tr>
        <w:trPr>
          <w:trHeight w:val="173"/>
        </w:trPr>
        <w:tc>
          <w:tcPr>
            <w:tcW w:w="5240" w:type="dxa"/>
            <w:vAlign w:val="bottom"/>
            <w:gridSpan w:val="2"/>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r>
      <w:tr>
        <w:trPr>
          <w:trHeight w:val="171"/>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debt securities</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U.S. equity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debt securities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International equity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10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r>
      <w:tr>
        <w:trPr>
          <w:trHeight w:val="20"/>
        </w:trPr>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expected long-term rate of return on assets for the Primary Plan and the Bargaining Plan as of December 31, 2022 were 5.00% and 7.00%, respectively.</w:t>
      </w:r>
    </w:p>
    <w:p>
      <w:pPr>
        <w:spacing w:after="0" w:line="18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Debt securities as of December 31, 2022 were comprised primarily of investments in government and corporate bonds with a weighted average maturity of approximately 12 years for the Primary Plan and approximately 19 years for the Bargaining Plan. U.S. equity securities in the Bargaining Plan as of December 31, 2022 included: (i) large-capitalization domestic equity funds as represented by the S&amp;P 500 index, (ii) mid-capitalization domestic equity funds as represented by the Russell Mid Cap Growth and Value indexes, (iii) small-capitalization domestic equity funds as represented by the Russell Small Cap Growth and Value indexes and (iv) alternative investment funds as represented by the HFRX Global index and the MSCI US REIT index. International equity securities in the Bargaining Plan as of December 31, 2022 included companies from both developed and emerging markets outside the United States. Cash and cash equivalents have a weighted average duration of less than one year.</w:t>
      </w:r>
    </w:p>
    <w:p>
      <w:pPr>
        <w:spacing w:after="0" w:line="17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Company’s pension plan assets, which are classified as Level 1 and Level 2 for fair value measurement. The Company does not have any Level 3 pension plan assets. See Note 14 for additional information.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 assets - fixed income</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232,578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300,670</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Pension plan assets - equity securities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18,867</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 assets - cash and cash equivalents</w:t>
            </w:r>
          </w:p>
        </w:tc>
        <w:tc>
          <w:tcPr>
            <w:tcW w:w="2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8,713</w:t>
            </w: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pension plan assets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261,942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328,250</w:t>
            </w: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401(k) Savings Plan</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provides a 401(k) Savings Plan for substantially all of its employees who are not part of collective bargaining agreements and for certain employees under collective bargaining agreements. The Company’s matching contribution for employees who are not part of collective bargaining agreements is discretionary, with the option to match contributions for eligible participants up to 5% based on the Company’s financial results. For all years presented, the Company matched the maximum 5% of participants’ contributions. The Company’s matching contribution for employees who are part of collective bargaining agreements is determined in accordance with negotiated formulas for the respective employees. The total expense for the Company’s matching contributions to the 401(k) Savings Plan was $26.8 million in 2022, $24.8 million in 2021 and $22.7 million in 2020.</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color w:val="auto"/>
        </w:rPr>
        <w:t>Postretirement Benefits</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provides postretirement benefits for employees meeting specified qualifying criteria. The Company recognizes the cost of postretirement benefits, which consist principally of medical benefits, during employees’ periods of active service. The Company does not prefund these benefits and has the right to modify or terminate certain of these benefits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set forth pertinent information for the Company’s postretirement benefit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Reconciliation of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40" w:type="dxa"/>
            <w:vAlign w:val="bottom"/>
            <w:tcBorders>
              <w:bottom w:val="single" w:sz="8" w:color="auto"/>
            </w:tcBorders>
          </w:tcPr>
          <w:p>
            <w:pPr>
              <w:spacing w:after="0"/>
              <w:rPr>
                <w:sz w:val="16"/>
                <w:szCs w:val="16"/>
                <w:color w:val="auto"/>
              </w:rPr>
            </w:pPr>
          </w:p>
        </w:tc>
      </w:tr>
      <w:tr>
        <w:trPr>
          <w:trHeight w:val="17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Pr>
          <w:p>
            <w:pPr>
              <w:spacing w:after="0"/>
              <w:rPr>
                <w:sz w:val="14"/>
                <w:szCs w:val="14"/>
                <w:color w:val="auto"/>
              </w:rPr>
            </w:pPr>
          </w:p>
        </w:tc>
        <w:tc>
          <w:tcPr>
            <w:tcW w:w="142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65,156</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67,665</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r>
      <w:tr>
        <w:trPr>
          <w:trHeight w:val="18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 participants’ contributions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r>
      <w:tr>
        <w:trPr>
          <w:trHeight w:val="18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w:t>
            </w:r>
          </w:p>
        </w:tc>
      </w:tr>
      <w:tr>
        <w:trPr>
          <w:trHeight w:val="18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(3,313)</w:t>
            </w:r>
          </w:p>
        </w:tc>
      </w:tr>
      <w:tr>
        <w:trPr>
          <w:trHeight w:val="19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Benefit obligation at end of year</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55,299</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65,156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increase in the discount rate for the postretirement benefit plan, as compared to the previous years, was the primary driver of the actuarial gain in both 2022 and 2021. The actuarial gain, net of tax, was recorded in accumulated other comprehensive loss in the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Reconciliation of Plan Assets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4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Employer contributions</w:t>
            </w: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0" w:type="dxa"/>
            <w:vAlign w:val="bottom"/>
          </w:tcPr>
          <w:p>
            <w:pPr>
              <w:spacing w:after="0"/>
              <w:rPr>
                <w:sz w:val="1"/>
                <w:szCs w:val="1"/>
                <w:color w:val="auto"/>
              </w:rPr>
            </w:pPr>
          </w:p>
        </w:tc>
      </w:tr>
      <w:tr>
        <w:trPr>
          <w:trHeight w:val="180"/>
        </w:trPr>
        <w:tc>
          <w:tcPr>
            <w:tcW w:w="4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participants’ contributions</w:t>
            </w:r>
          </w:p>
        </w:tc>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180"/>
        </w:trPr>
        <w:tc>
          <w:tcPr>
            <w:tcW w:w="4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2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plan assets at end of year</w:t>
            </w:r>
          </w:p>
        </w:tc>
        <w:tc>
          <w:tcPr>
            <w:tcW w:w="2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Funded Status</w:t>
            </w:r>
          </w:p>
        </w:tc>
        <w:tc>
          <w:tcPr>
            <w:tcW w:w="32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820" w:type="dxa"/>
            <w:vAlign w:val="bottom"/>
            <w:tcBorders>
              <w:bottom w:val="single" w:sz="8" w:color="auto"/>
            </w:tcBorders>
            <w:vMerge w:val="continue"/>
          </w:tcPr>
          <w:p>
            <w:pPr>
              <w:spacing w:after="0"/>
              <w:rPr>
                <w:sz w:val="24"/>
                <w:szCs w:val="24"/>
                <w:color w:val="auto"/>
              </w:rPr>
            </w:pPr>
          </w:p>
        </w:tc>
        <w:tc>
          <w:tcPr>
            <w:tcW w:w="3240" w:type="dxa"/>
            <w:vAlign w:val="bottom"/>
            <w:gridSpan w:val="2"/>
            <w:vMerge w:val="continue"/>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1"/>
        </w:trPr>
        <w:tc>
          <w:tcPr>
            <w:tcW w:w="40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r>
        <w:trPr>
          <w:trHeight w:val="180"/>
        </w:trPr>
        <w:tc>
          <w:tcPr>
            <w:tcW w:w="4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(52,122)</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(62,166)</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liability - postretirement benefits</w:t>
            </w:r>
          </w:p>
        </w:tc>
        <w:tc>
          <w:tcPr>
            <w:tcW w:w="2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(55,299)</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(65,156)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Net Periodic Postretirement Benefit Cost</w:t>
            </w: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060" w:type="dxa"/>
            <w:vAlign w:val="bottom"/>
            <w:gridSpan w:val="3"/>
            <w:vMerge w:val="continue"/>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1"/>
        </w:trPr>
        <w:tc>
          <w:tcPr>
            <w:tcW w:w="4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1,516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180"/>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5"/>
              </w:rPr>
              <w:t>1,772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80"/>
        </w:trPr>
        <w:tc>
          <w:tcPr>
            <w:tcW w:w="4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net actuarial loss</w:t>
            </w:r>
          </w:p>
        </w:tc>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71"/>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periodic postretirement benefit cost</w:t>
            </w: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3,825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3,970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3,868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80" w:type="dxa"/>
            <w:vAlign w:val="bottom"/>
            <w:vMerge w:val="restart"/>
          </w:tcPr>
          <w:p>
            <w:pPr>
              <w:jc w:val="right"/>
              <w:ind w:right="849"/>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6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Significant Assumptions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404"/>
        </w:trPr>
        <w:tc>
          <w:tcPr>
            <w:tcW w:w="6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20" w:type="dxa"/>
            <w:vAlign w:val="bottom"/>
            <w:tcBorders>
              <w:bottom w:val="single" w:sz="8" w:color="auto"/>
            </w:tcBorders>
          </w:tcPr>
          <w:p>
            <w:pPr>
              <w:spacing w:after="0"/>
              <w:rPr>
                <w:sz w:val="24"/>
                <w:szCs w:val="24"/>
                <w:color w:val="auto"/>
              </w:rPr>
            </w:pPr>
          </w:p>
        </w:tc>
      </w:tr>
      <w:tr>
        <w:trPr>
          <w:trHeight w:val="171"/>
        </w:trPr>
        <w:tc>
          <w:tcPr>
            <w:tcW w:w="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Benefit obligation at the measurement date:</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80"/>
        </w:trPr>
        <w:tc>
          <w:tcPr>
            <w:tcW w:w="65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Weighted average healthcare cost trend rate - Pre-Medicare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6.04 %</w:t>
            </w:r>
          </w:p>
        </w:tc>
        <w:tc>
          <w:tcPr>
            <w:tcW w:w="100" w:type="dxa"/>
            <w:vAlign w:val="bottom"/>
          </w:tcPr>
          <w:p>
            <w:pPr>
              <w:spacing w:after="0"/>
              <w:rPr>
                <w:sz w:val="15"/>
                <w:szCs w:val="15"/>
                <w:color w:val="auto"/>
              </w:rPr>
            </w:pPr>
          </w:p>
        </w:tc>
        <w:tc>
          <w:tcPr>
            <w:tcW w:w="152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6.26 %</w:t>
            </w:r>
          </w:p>
        </w:tc>
      </w:tr>
      <w:tr>
        <w:trPr>
          <w:trHeight w:val="180"/>
        </w:trPr>
        <w:tc>
          <w:tcPr>
            <w:tcW w:w="6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healthcare cost trend rate - Post-Medicare</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6.54 %</w:t>
            </w:r>
          </w:p>
        </w:tc>
      </w:tr>
      <w:tr>
        <w:trPr>
          <w:trHeight w:val="180"/>
        </w:trPr>
        <w:tc>
          <w:tcPr>
            <w:tcW w:w="65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Benefit obligation discount rate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100" w:type="dxa"/>
            <w:vAlign w:val="bottom"/>
          </w:tcPr>
          <w:p>
            <w:pPr>
              <w:spacing w:after="0"/>
              <w:rPr>
                <w:sz w:val="15"/>
                <w:szCs w:val="15"/>
                <w:color w:val="auto"/>
              </w:rPr>
            </w:pPr>
          </w:p>
        </w:tc>
        <w:tc>
          <w:tcPr>
            <w:tcW w:w="152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2.70 %</w:t>
            </w:r>
          </w:p>
        </w:tc>
      </w:tr>
      <w:tr>
        <w:trPr>
          <w:trHeight w:val="180"/>
        </w:trPr>
        <w:tc>
          <w:tcPr>
            <w:tcW w:w="6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periodic postretirement benefit cost discount rate for fiscal year</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3.32 %</w:t>
            </w:r>
          </w:p>
        </w:tc>
      </w:tr>
      <w:tr>
        <w:trPr>
          <w:trHeight w:val="170"/>
        </w:trPr>
        <w:tc>
          <w:tcPr>
            <w:tcW w:w="660" w:type="dxa"/>
            <w:vAlign w:val="bottom"/>
          </w:tcPr>
          <w:p>
            <w:pPr>
              <w:spacing w:after="0"/>
              <w:rPr>
                <w:sz w:val="14"/>
                <w:szCs w:val="14"/>
                <w:color w:val="auto"/>
              </w:rPr>
            </w:pPr>
          </w:p>
        </w:tc>
        <w:tc>
          <w:tcPr>
            <w:tcW w:w="57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0"/>
        </w:trPr>
        <w:tc>
          <w:tcPr>
            <w:tcW w:w="6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Postretirement benefit expense - Pre-Medicare:</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0"/>
        </w:trPr>
        <w:tc>
          <w:tcPr>
            <w:tcW w:w="65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Weighted average healthcare cost trend rate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6.26 %</w:t>
            </w:r>
          </w:p>
        </w:tc>
        <w:tc>
          <w:tcPr>
            <w:tcW w:w="100" w:type="dxa"/>
            <w:vAlign w:val="bottom"/>
          </w:tcPr>
          <w:p>
            <w:pPr>
              <w:spacing w:after="0"/>
              <w:rPr>
                <w:sz w:val="15"/>
                <w:szCs w:val="15"/>
                <w:color w:val="auto"/>
              </w:rPr>
            </w:pPr>
          </w:p>
        </w:tc>
        <w:tc>
          <w:tcPr>
            <w:tcW w:w="152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6.53 %</w:t>
            </w:r>
          </w:p>
        </w:tc>
      </w:tr>
      <w:tr>
        <w:trPr>
          <w:trHeight w:val="180"/>
        </w:trPr>
        <w:tc>
          <w:tcPr>
            <w:tcW w:w="6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Trend rate graded down to ultimate rate</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4.50 %</w:t>
            </w:r>
          </w:p>
        </w:tc>
      </w:tr>
      <w:tr>
        <w:trPr>
          <w:trHeight w:val="180"/>
        </w:trPr>
        <w:tc>
          <w:tcPr>
            <w:tcW w:w="65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Ultimate rate year</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r>
      <w:tr>
        <w:trPr>
          <w:trHeight w:val="170"/>
        </w:trPr>
        <w:tc>
          <w:tcPr>
            <w:tcW w:w="660" w:type="dxa"/>
            <w:vAlign w:val="bottom"/>
            <w:shd w:val="clear" w:color="auto" w:fill="CCEEFF"/>
          </w:tcPr>
          <w:p>
            <w:pPr>
              <w:spacing w:after="0"/>
              <w:rPr>
                <w:sz w:val="14"/>
                <w:szCs w:val="14"/>
                <w:color w:val="auto"/>
              </w:rPr>
            </w:pPr>
          </w:p>
        </w:tc>
        <w:tc>
          <w:tcPr>
            <w:tcW w:w="576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80"/>
        </w:trPr>
        <w:tc>
          <w:tcPr>
            <w:tcW w:w="6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Postretirement benefit expense - Post-Medicare: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0"/>
        </w:trPr>
        <w:tc>
          <w:tcPr>
            <w:tcW w:w="6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healthcare cost trend rate</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6.73 %</w:t>
            </w:r>
          </w:p>
        </w:tc>
      </w:tr>
      <w:tr>
        <w:trPr>
          <w:trHeight w:val="180"/>
        </w:trPr>
        <w:tc>
          <w:tcPr>
            <w:tcW w:w="65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Trend rate graded down to ultimate rate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5"/>
                <w:szCs w:val="15"/>
                <w:color w:val="auto"/>
              </w:rPr>
            </w:pPr>
          </w:p>
        </w:tc>
        <w:tc>
          <w:tcPr>
            <w:tcW w:w="152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4.50 %</w:t>
            </w:r>
          </w:p>
        </w:tc>
      </w:tr>
      <w:tr>
        <w:trPr>
          <w:trHeight w:val="180"/>
        </w:trPr>
        <w:tc>
          <w:tcPr>
            <w:tcW w:w="6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Ultimate rate year</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r>
      <w:tr>
        <w:trPr>
          <w:trHeight w:val="403"/>
        </w:trPr>
        <w:tc>
          <w:tcPr>
            <w:tcW w:w="6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Cash Flows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2"/>
        </w:trPr>
        <w:tc>
          <w:tcPr>
            <w:tcW w:w="6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60" w:type="dxa"/>
            <w:vAlign w:val="bottom"/>
            <w:gridSpan w:val="5"/>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Anticipated Future Postretirement Benefit</w:t>
            </w:r>
          </w:p>
        </w:tc>
      </w:tr>
      <w:tr>
        <w:trPr>
          <w:trHeight w:val="189"/>
        </w:trPr>
        <w:tc>
          <w:tcPr>
            <w:tcW w:w="65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5"/>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Payments Reflecting Expected Future Service</w:t>
            </w:r>
          </w:p>
        </w:tc>
      </w:tr>
      <w:tr>
        <w:trPr>
          <w:trHeight w:val="173"/>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740" w:type="dxa"/>
            <w:vAlign w:val="bottom"/>
            <w:shd w:val="clear" w:color="auto" w:fill="CCEEFF"/>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3,177</w:t>
            </w:r>
          </w:p>
        </w:tc>
      </w:tr>
      <w:tr>
        <w:trPr>
          <w:trHeight w:val="180"/>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3,489</w:t>
            </w:r>
          </w:p>
        </w:tc>
      </w:tr>
      <w:tr>
        <w:trPr>
          <w:trHeight w:val="180"/>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740" w:type="dxa"/>
            <w:vAlign w:val="bottom"/>
            <w:shd w:val="clear" w:color="auto" w:fill="CCEEFF"/>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3,655</w:t>
            </w:r>
          </w:p>
        </w:tc>
      </w:tr>
      <w:tr>
        <w:trPr>
          <w:trHeight w:val="180"/>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7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4,012</w:t>
            </w:r>
          </w:p>
        </w:tc>
      </w:tr>
      <w:tr>
        <w:trPr>
          <w:trHeight w:val="180"/>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740" w:type="dxa"/>
            <w:vAlign w:val="bottom"/>
            <w:shd w:val="clear" w:color="auto" w:fill="CCEEFF"/>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4,364</w:t>
            </w:r>
          </w:p>
        </w:tc>
      </w:tr>
      <w:tr>
        <w:trPr>
          <w:trHeight w:val="184"/>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2028 - 2032</w:t>
            </w:r>
          </w:p>
        </w:tc>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22,825</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gross amounts in accumulated other comprehensive loss not yet recognized as components of net periodic benefit cost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Actuarial Gain (Loss)</w:t>
            </w:r>
          </w:p>
        </w:tc>
        <w:tc>
          <w:tcPr>
            <w:tcW w:w="2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00" w:type="dxa"/>
            <w:vAlign w:val="bottom"/>
          </w:tcPr>
          <w:p>
            <w:pPr>
              <w:spacing w:after="0"/>
              <w:rPr>
                <w:sz w:val="13"/>
                <w:szCs w:val="13"/>
                <w:color w:val="auto"/>
              </w:rPr>
            </w:pPr>
          </w:p>
        </w:tc>
        <w:tc>
          <w:tcPr>
            <w:tcW w:w="12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2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00" w:type="dxa"/>
            <w:vAlign w:val="bottom"/>
          </w:tcPr>
          <w:p>
            <w:pPr>
              <w:spacing w:after="0"/>
              <w:rPr>
                <w:sz w:val="16"/>
                <w:szCs w:val="16"/>
                <w:color w:val="auto"/>
              </w:rPr>
            </w:pPr>
          </w:p>
        </w:tc>
        <w:tc>
          <w:tcPr>
            <w:tcW w:w="12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Actuarial loss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(127,813)</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(117,560)</w:t>
            </w: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Prior service costs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Postretirement Medical:</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gain (loss)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71"/>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within accumulated other comprehensive loss</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(137,629)</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16,247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4,434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(116,948)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Multiemployer Pension Plans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Certain employees of the Company whose employment is covered under collective bargaining agreements participate in a multiemployer pension plan, the Employers-Teamsters Local Union Nos. 175 and 505 Pension Fund (the “Teamsters Plan”). The Company makes monthly contributions to the Teamsters Plan on behalf of such employees. The collective bargaining agreements covering the Teamsters Plan expire at various times through 2025. The Company expects these agreements will be re-negotiated.</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Participating in the Teamsters Plan involves certain risks in addition to the risks associated with single employer pension plans, as contributed assets are pooled and may be used to provide benefits to employees of other participating employers. If a participating employer stops contributing to the Teamsters Plan, the unfunded obligations of the Teamsters Plan may be borne by the remaining participating employers. If the Company chooses to stop participating in the Teamsters Plan, the Company could be required to pay the Teamsters Plan a withdrawal liability based on the underfunded status of the Teamsters Plan. The Company does not anticipate withdrawing from the Teamsters Plan.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6" w:right="319" w:bottom="1440" w:gutter="0" w:footer="0" w:header="0"/>
        </w:sectPr>
      </w:pPr>
    </w:p>
    <w:bookmarkStart w:id="70" w:name="page71"/>
    <w:bookmarkEnd w:id="70"/>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In 2015, the Company increased its contribution rates to the Teamsters Plan, with additional increases occurring annually, as part of a rehabilitation plan, which was incorporated into the renewal of collective bargaining agreements with the unions effective April 28, 2014 and adopted by the Company as a rehabilitation plan effective January 1, 2015. This is a result of the Teamsters Plan being certified by its actuary as being in “critical” status for the plan year beginning January 1, 2013.</w:t>
      </w:r>
    </w:p>
    <w:p>
      <w:pPr>
        <w:spacing w:after="0" w:line="15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Company’s participation in the Teamsters Plan is outlined in the table below. A red zone represents less than 80% funding and requires a financial improvement plan (“FIP”) or rehabilitation plan (“RP”).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Protection Act Zone Status</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Red</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7"/>
              </w:rPr>
              <w:t>Red</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Red</w:t>
            </w:r>
          </w:p>
        </w:tc>
      </w:tr>
      <w:tr>
        <w:trPr>
          <w:trHeight w:val="18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FIP or RP pending or implemented</w:t>
            </w:r>
          </w:p>
        </w:tc>
        <w:tc>
          <w:tcPr>
            <w:tcW w:w="32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1"/>
              </w:rPr>
              <w:t>Yes</w:t>
            </w: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Yes</w:t>
            </w:r>
          </w:p>
        </w:tc>
        <w:tc>
          <w:tcPr>
            <w:tcW w:w="340" w:type="dxa"/>
            <w:vAlign w:val="bottom"/>
          </w:tcPr>
          <w:p>
            <w:pPr>
              <w:spacing w:after="0"/>
              <w:rPr>
                <w:sz w:val="15"/>
                <w:szCs w:val="15"/>
                <w:color w:val="auto"/>
              </w:rPr>
            </w:pPr>
          </w:p>
        </w:tc>
        <w:tc>
          <w:tcPr>
            <w:tcW w:w="112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1"/>
              </w:rPr>
              <w:t>Yes</w:t>
            </w:r>
          </w:p>
        </w:tc>
      </w:tr>
      <w:tr>
        <w:trPr>
          <w:trHeight w:val="18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Surcharge imposed</w:t>
            </w: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color w:val="auto"/>
                <w:w w:val="91"/>
              </w:rPr>
              <w:t>Yes</w:t>
            </w: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color w:val="auto"/>
              </w:rPr>
              <w:t>Yes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w w:val="91"/>
              </w:rPr>
              <w:t>Yes</w:t>
            </w: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Contribution</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According to the Teamsters Plan’s Form 5500 for both the plan years ended December 31, 2021 and December 31, 2020, the Company was not listed as providing more than 5% of the total contributions. At the date these consolidated financial statements were issued, a Form 5500 was not available for the plan year ended December 31, 2022.</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has a liability recorded for withdrawing from a multiemployer pension plan in 2008 and is required to make payments of approximately $1 million to this multiemployer pension plan each year through 2028. As of December 31, 2022, the Company had $4.6 million remaining on this liability.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17.</w:t>
            </w: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61"/>
        </w:trPr>
        <w:tc>
          <w:tcPr>
            <w:tcW w:w="7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liabilities consisted of the following:</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24"/>
                <w:szCs w:val="24"/>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24"/>
                <w:szCs w:val="24"/>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7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portion of acquisition related contingent consideration</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501,431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490,587</w:t>
            </w:r>
          </w:p>
        </w:tc>
      </w:tr>
      <w:tr>
        <w:trPr>
          <w:trHeight w:val="18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Accruals for executive benefit plans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147,135</w:t>
            </w:r>
          </w:p>
        </w:tc>
      </w:tr>
      <w:tr>
        <w:trPr>
          <w:trHeight w:val="18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deferred proceeds from related parties</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106,304</w:t>
            </w:r>
          </w:p>
        </w:tc>
      </w:tr>
      <w:tr>
        <w:trPr>
          <w:trHeight w:val="180"/>
        </w:trPr>
        <w:tc>
          <w:tcPr>
            <w:tcW w:w="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6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14,584</w:t>
            </w:r>
          </w:p>
        </w:tc>
      </w:tr>
      <w:tr>
        <w:trPr>
          <w:trHeight w:val="196"/>
        </w:trPr>
        <w:tc>
          <w:tcPr>
            <w:tcW w:w="7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liabilities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753,357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758,610</w:t>
            </w: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300"/>
        <w:spacing w:after="0" w:line="182" w:lineRule="exact"/>
        <w:rPr>
          <w:sz w:val="20"/>
          <w:szCs w:val="20"/>
          <w:color w:val="auto"/>
        </w:rPr>
      </w:pPr>
      <w:r>
        <w:rPr>
          <w:rFonts w:ascii="Times New Roman" w:cs="Times New Roman" w:eastAsia="Times New Roman" w:hAnsi="Times New Roman"/>
          <w:sz w:val="14"/>
          <w:szCs w:val="14"/>
          <w:color w:val="auto"/>
        </w:rPr>
        <w:t>In 2017,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agreed to provide the Company a fee to compensate the Company for the net economic impact of changes made by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to the authorized pricing on sales of covered beverages produced at certain manufacturing plants owned by the Company (the “Legacy Facilities Credit”), which was recorded as a deferred liability and will be amortized as a reduction to cost of sales over a period of 40 years.</w:t>
      </w:r>
    </w:p>
    <w:p>
      <w:pPr>
        <w:spacing w:after="0" w:line="178"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Also in 2017, upon the conversion of the Company’s then-existing bottling agreements pursuant to the CBA, the Company received a fee from CCR (the “Territory Conversion Fee”), which was recorded as a deferred liability and will be amortized as a reduction to cost of sales over a period of 40 years. Together, the Legacy Facilities Credit and the Territory Conversion Fee are “deferred proceeds from related parties.”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18.</w:t>
            </w:r>
          </w:p>
        </w:tc>
        <w:tc>
          <w:tcPr>
            <w:tcW w:w="3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61"/>
        </w:trPr>
        <w:tc>
          <w:tcPr>
            <w:tcW w:w="3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Following is a summary of the Company’s long-term debt: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4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Public /</w:t>
            </w:r>
          </w:p>
        </w:tc>
        <w:tc>
          <w:tcPr>
            <w:tcW w:w="18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12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Nonpublic</w:t>
            </w:r>
          </w:p>
        </w:tc>
        <w:tc>
          <w:tcPr>
            <w:tcW w:w="18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3460" w:type="dxa"/>
            <w:vAlign w:val="bottom"/>
            <w:tcBorders>
              <w:top w:val="single" w:sz="8" w:color="auto"/>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4"/>
                <w:szCs w:val="14"/>
                <w:color w:val="auto"/>
              </w:rPr>
              <w:t>Senior notes</w:t>
            </w:r>
            <w:r>
              <w:rPr>
                <w:rFonts w:ascii="Times New Roman" w:cs="Times New Roman" w:eastAsia="Times New Roman" w:hAnsi="Times New Roman"/>
                <w:sz w:val="18"/>
                <w:szCs w:val="18"/>
                <w:color w:val="auto"/>
                <w:vertAlign w:val="superscript"/>
              </w:rPr>
              <w:t>(1)</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2/27/2023</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Semi-annually</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Nonpublic</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r>
      <w:tr>
        <w:trPr>
          <w:trHeight w:val="180"/>
        </w:trPr>
        <w:tc>
          <w:tcPr>
            <w:tcW w:w="35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4"/>
                <w:szCs w:val="14"/>
                <w:color w:val="auto"/>
              </w:rPr>
              <w:t>Senior bonds</w:t>
            </w:r>
            <w:r>
              <w:rPr>
                <w:rFonts w:ascii="Times New Roman" w:cs="Times New Roman" w:eastAsia="Times New Roman" w:hAnsi="Times New Roman"/>
                <w:sz w:val="18"/>
                <w:szCs w:val="18"/>
                <w:color w:val="auto"/>
                <w:vertAlign w:val="superscript"/>
              </w:rPr>
              <w:t>(2)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11/25/2025</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Semi-annually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Public</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r>
      <w:tr>
        <w:trPr>
          <w:trHeight w:val="180"/>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7/9/2026</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Variable</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2"/>
              </w:rPr>
              <w:t>Varies</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Nonpublic</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10/10/2026</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Quarterly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Nonpublic</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80"/>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3/21/2030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Quarterly</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Nonpublic</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180"/>
        </w:trPr>
        <w:tc>
          <w:tcPr>
            <w:tcW w:w="35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4"/>
                <w:szCs w:val="14"/>
                <w:color w:val="auto"/>
              </w:rPr>
              <w:t>Unamortized discount on senior bonds</w:t>
            </w:r>
            <w:r>
              <w:rPr>
                <w:rFonts w:ascii="Times New Roman" w:cs="Times New Roman" w:eastAsia="Times New Roman" w:hAnsi="Times New Roman"/>
                <w:sz w:val="18"/>
                <w:szCs w:val="18"/>
                <w:color w:val="auto"/>
                <w:vertAlign w:val="superscript"/>
              </w:rPr>
              <w:t>(2)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11/25/2025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r>
      <w:tr>
        <w:trPr>
          <w:trHeight w:val="171"/>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long-term debt</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598,817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723,443</w:t>
            </w:r>
          </w:p>
        </w:tc>
      </w:tr>
      <w:tr>
        <w:trPr>
          <w:trHeight w:val="20"/>
        </w:trPr>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right="60" w:hanging="255"/>
        <w:spacing w:after="0" w:line="230" w:lineRule="auto"/>
        <w:tabs>
          <w:tab w:leader="none" w:pos="25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September 13, 2022, the Company used cash on hand to repay the $125 million of senior notes with a stated maturity date of February 27, 2023. There was no penalty for the early repayment of the senior notes.</w:t>
      </w:r>
    </w:p>
    <w:p>
      <w:pPr>
        <w:spacing w:after="0" w:line="1" w:lineRule="exact"/>
        <w:rPr>
          <w:rFonts w:ascii="Times New Roman" w:cs="Times New Roman" w:eastAsia="Times New Roman" w:hAnsi="Times New Roman"/>
          <w:sz w:val="18"/>
          <w:szCs w:val="18"/>
          <w:color w:val="auto"/>
          <w:vertAlign w:val="superscript"/>
        </w:rPr>
      </w:pPr>
    </w:p>
    <w:p>
      <w:pPr>
        <w:ind w:left="240" w:hanging="235"/>
        <w:spacing w:after="0" w:line="196" w:lineRule="auto"/>
        <w:tabs>
          <w:tab w:leader="none" w:pos="24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senior bonds due in 2025 were issued at 99.975% of par.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principal maturities of debt outstanding on December 31, 2022 were as follows:</w:t>
            </w: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93"/>
        </w:trPr>
        <w:tc>
          <w:tcPr>
            <w:tcW w:w="9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24"/>
                <w:szCs w:val="24"/>
                <w:color w:val="auto"/>
              </w:rPr>
            </w:pPr>
          </w:p>
        </w:tc>
        <w:tc>
          <w:tcPr>
            <w:tcW w:w="16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Debt Maturities</w:t>
            </w:r>
          </w:p>
        </w:tc>
      </w:tr>
      <w:tr>
        <w:trPr>
          <w:trHeight w:val="171"/>
        </w:trPr>
        <w:tc>
          <w:tcPr>
            <w:tcW w:w="9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r>
      <w:tr>
        <w:trPr>
          <w:trHeight w:val="180"/>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8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196"/>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600,000</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The Company mitigates its financing risk by using multiple financial institutions and only entering into credit arrangements with institutions with investment grade credit ratings. The Company monitors counterparty credit ratings on an ongoing basis.</w:t>
      </w:r>
    </w:p>
    <w:p>
      <w:pPr>
        <w:spacing w:after="0" w:line="14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indenture under which the Company’s senior bonds were issued does not include financial covenants but does limit the incurrence of certain liens and encumbrances as well as indebtedness by the Company’s subsidiaries in excess of certain amounts. The agreements under which the Company’s nonpublic debt was issued include two financial covenants: a consolidated cash flow/fixed charges ratio and a consolidated funded indebtedness/cash flow ratio, each as defined in the respective agreement. The Company was in compliance with these covenants as of December 31, 2022. These covenants have not restricted, and are not expected to restrict, the Company’s liquidity or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outstanding long-term debt has been issued by the Company and none has been issued by any of its subsidiaries. There are no guarantees of the Company’s long-term debt.</w:t>
      </w:r>
    </w:p>
    <w:p>
      <w:pPr>
        <w:spacing w:after="0" w:line="198" w:lineRule="exact"/>
        <w:rPr>
          <w:sz w:val="20"/>
          <w:szCs w:val="20"/>
          <w:color w:val="auto"/>
        </w:rPr>
      </w:pPr>
    </w:p>
    <w:p>
      <w:pPr>
        <w:ind w:left="640" w:hanging="635"/>
        <w:spacing w:after="0"/>
        <w:tabs>
          <w:tab w:leader="none" w:pos="64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Manufacturing Cooperatives</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Company is obligated to purchase at least 80% of its requirements of plastic bottles for certain designated territories from Southeastern. The Company is also obligated to purchase 17.5 million cases of finished product from SAC on an annual basis through June 2024. The Company purchased 26.9 million cases, 28.0 million cases and 28.3 million cases of finished product from SAC in 2022, 2021 and 2020, respectively.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The following table summarizes the Company’s purchases from these manufacturing cooperatives: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from Southeastern</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153,967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125,142</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125,659</w:t>
            </w:r>
          </w:p>
        </w:tc>
      </w:tr>
      <w:tr>
        <w:trPr>
          <w:trHeight w:val="18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Purchases from SAC</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193,261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169,399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155,858</w:t>
            </w: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purchases from manufacturing cooperatives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347,228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294,541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281,517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guarantees a portion of SAC’s debt, which expires in 2024. The amount guaranteed was $9.5 million on both December 31, 2022 and December 31, 2021. In the event SAC fails to fulfill its commitments under the related debt, the Company would be responsible for payment to the lenders up to the level of the guarantee. The Company does not anticipate SAC will fail to fulfill its commitments related to the debt. The Company further believes SAC has sufficient assets, including production equipment, facilities and working capital, and the ability to adjust the selling prices of its products to adequately mitigate the risk of material loss from the Company’s guarantee.</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holds no assets as collateral against the SAC guarantee, the fair value of which is immaterial to the consolidated financial statements. The Company monitors its investment in SAC and would be required to write down its investment if an impairment, other than a temporary impairment, was identified. No impairment of the Company’s investment in SAC was identified as of December 31, 2022, and there was no impairment identified in 2022, 2021 or 2020.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Commitments and Contingencies</w:t>
      </w:r>
    </w:p>
    <w:p>
      <w:pPr>
        <w:spacing w:after="0" w:line="202"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14"/>
          <w:szCs w:val="14"/>
          <w:color w:val="auto"/>
        </w:rPr>
        <w:t>The Company has standby letters of credit, primarily related to its property and casualty insurance programs. These letters of credit totaled $37.6 million on both December 31, 2022 and December 31, 2021.</w:t>
      </w:r>
    </w:p>
    <w:p>
      <w:pPr>
        <w:spacing w:after="0" w:line="1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participates in long-term marketing contractual arrangements with certain prestige properties, athletic venues and other locations. As of December 31, 2022, the future payments related to these contractual arrangements, which expire at various dates through 2033, amounted to $128.8 million.</w:t>
      </w:r>
    </w:p>
    <w:p>
      <w:pPr>
        <w:spacing w:after="0" w:line="14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is involved in various claims and legal proceedings which have arisen in the ordinary course of its business. Although it is difficult to predict the ultimate outcome of these claims and legal proceedings, management believes the ultimate disposition of these matters will not have a material adverse effect on the financial condition, results of operations or cash flows of the Company. No material amount of loss in excess of recorded amounts is believed to be reasonably possible as a result of these claims and legal proceedings.</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is subject to audits by tax authorities in jurisdictions where it conducts business. These audits may result in assessments that are subsequently resolved with the authorities or potentially through the courts. Management believes the Company has adequately provided for any assessments likely to result from these audits; however, final assessments, if any, could be different than the amounts recorded in the consolidated financial statements.</w:t>
      </w:r>
    </w:p>
    <w:p>
      <w:pPr>
        <w:spacing w:after="0" w:line="155" w:lineRule="exact"/>
        <w:rPr>
          <w:sz w:val="20"/>
          <w:szCs w:val="20"/>
          <w:color w:val="auto"/>
        </w:rPr>
      </w:pPr>
    </w:p>
    <w:p>
      <w:pPr>
        <w:ind w:left="640" w:hanging="635"/>
        <w:spacing w:after="0"/>
        <w:tabs>
          <w:tab w:leader="none" w:pos="64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Risks and Uncertainties</w:t>
      </w:r>
    </w:p>
    <w:p>
      <w:pPr>
        <w:spacing w:after="0" w:line="181" w:lineRule="exact"/>
        <w:rPr>
          <w:sz w:val="20"/>
          <w:szCs w:val="20"/>
          <w:color w:val="auto"/>
        </w:rPr>
      </w:pPr>
    </w:p>
    <w:p>
      <w:pPr>
        <w:ind w:right="300"/>
        <w:spacing w:after="0" w:line="179" w:lineRule="exact"/>
        <w:rPr>
          <w:sz w:val="20"/>
          <w:szCs w:val="20"/>
          <w:color w:val="auto"/>
        </w:rPr>
      </w:pPr>
      <w:r>
        <w:rPr>
          <w:rFonts w:ascii="Times New Roman" w:cs="Times New Roman" w:eastAsia="Times New Roman" w:hAnsi="Times New Roman"/>
          <w:sz w:val="14"/>
          <w:szCs w:val="14"/>
          <w:color w:val="auto"/>
        </w:rPr>
        <w:t>Approximately 86% of the Company’s total bottle/can sales volume to retail customers consists of products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which is the sole supplier of these products or of the concentrates or syrups required to manufacture these products. The remaining bottle/can sales volume to retail customers consists of products of other beverage companies. The Company has beverage agreements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other beverage companies under which it has various requirements. Failure to meet the requirements of these beverage agreements could result in the loss of distribution rights for the respective products.</w:t>
      </w:r>
    </w:p>
    <w:p>
      <w:pPr>
        <w:spacing w:after="0" w:line="17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faces concentration risks related to a few customers comprising a large portion of the Company’s annual sales volume and net sales. The following table summarizes the percentage of the Company’s total bottle/can sales volume to its largest customers,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3" w:name="page74"/>
    <w:bookmarkEnd w:id="73"/>
    <w:p>
      <w:pPr>
        <w:ind w:right="140"/>
        <w:spacing w:after="0" w:line="287" w:lineRule="auto"/>
        <w:rPr>
          <w:sz w:val="20"/>
          <w:szCs w:val="20"/>
          <w:color w:val="auto"/>
        </w:rPr>
      </w:pPr>
      <w:r>
        <w:rPr>
          <w:rFonts w:ascii="Times New Roman" w:cs="Times New Roman" w:eastAsia="Times New Roman" w:hAnsi="Times New Roman"/>
          <w:sz w:val="14"/>
          <w:szCs w:val="14"/>
          <w:color w:val="auto"/>
        </w:rPr>
        <w:t>as well as the percentage of the Company’s total net sales, which are included in the Nonalcoholic Beverages segment, that such volume represents. No other customer represented greater than 10% of the Company’s total net sales for any years presented.</w:t>
      </w:r>
    </w:p>
    <w:p>
      <w:pPr>
        <w:sectPr>
          <w:pgSz w:w="11900" w:h="16838" w:orient="portrait"/>
          <w:cols w:equalWidth="0" w:num="1">
            <w:col w:w="11280"/>
          </w:cols>
          <w:pgMar w:left="300" w:top="634" w:right="31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Approximate percent of the Company’s total bottle/can sales volume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Wal-Mart Stores,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Kroger Company</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approximate percent of the Company’s total bottle/can sales volume</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Approximate percent of the Company’s total net sales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Wal-Mart Stores,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Kroger Company</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approximate percent of the Company’s total net sales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47"/>
        </w:trPr>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4"/>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71"/>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32 %</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33 %</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32 %</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88"/>
        </w:trPr>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4"/>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71"/>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26 %</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23 %</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24 %</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-848360</wp:posOffset>
            </wp:positionV>
            <wp:extent cx="7161530" cy="114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-598805</wp:posOffset>
            </wp:positionV>
            <wp:extent cx="7161530" cy="1079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-376555</wp:posOffset>
            </wp:positionV>
            <wp:extent cx="7161530"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-147320</wp:posOffset>
            </wp:positionV>
            <wp:extent cx="7161530" cy="134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-1083945</wp:posOffset>
            </wp:positionV>
            <wp:extent cx="7161530" cy="1212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4780"/>
          </w:cols>
          <w:pgMar w:left="300" w:top="634" w:right="319" w:bottom="1440" w:gutter="0" w:footer="0" w:header="0"/>
          <w:type w:val="continuous"/>
        </w:sectPr>
      </w:pPr>
    </w:p>
    <w:p>
      <w:pPr>
        <w:spacing w:after="0" w:line="51" w:lineRule="exact"/>
        <w:rPr>
          <w:sz w:val="20"/>
          <w:szCs w:val="20"/>
          <w:color w:val="auto"/>
        </w:rPr>
      </w:pPr>
    </w:p>
    <w:p>
      <w:pPr>
        <w:ind w:right="40"/>
        <w:spacing w:after="0" w:line="185" w:lineRule="exact"/>
        <w:rPr>
          <w:sz w:val="20"/>
          <w:szCs w:val="20"/>
          <w:color w:val="auto"/>
        </w:rPr>
      </w:pPr>
      <w:r>
        <w:rPr>
          <w:rFonts w:ascii="Times New Roman" w:cs="Times New Roman" w:eastAsia="Times New Roman" w:hAnsi="Times New Roman"/>
          <w:sz w:val="14"/>
          <w:szCs w:val="14"/>
          <w:color w:val="auto"/>
        </w:rPr>
        <w:t>The Company purchases all of the plastic bottles used in its manufacturing plants from Southeastern and Western Container, two manufacturing cooperatives the Company co-owns with several other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bottlers, and all of its aluminum cans from two domestic suppliers. See Note 2 and Note 19 for additional information.</w:t>
      </w:r>
    </w:p>
    <w:p>
      <w:pPr>
        <w:spacing w:after="0" w:line="16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is exposed to price risk on commodities such as aluminum, corn and PET resin (a petroleum- or plant-based product), which affects the cost of raw materials used in the production of its finished products. The Company both produces and procures these finished products. Examples of the raw materials affected are aluminum cans and plastic bottles used for packaging and high fructose corn syrup used as a product ingredient. Further, the Company is exposed to commodity price risk on crude oil, which impacts the Company’s cost of fuel used in the movement and delivery of the Company’s products. The Company participates in commodity hedging and risk mitigation programs, including programs administered by CCBSS and programs we administer.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liabilities of the Company, including retirement benefit obligations and the Company’s pension liability, are subject to risk of changes in both long-term and short-term interest rates.</w:t>
      </w:r>
    </w:p>
    <w:p>
      <w:pPr>
        <w:spacing w:after="0" w:line="20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The Company’s contingent consideration liability resulting from the acquisition of certain distribution territories is subject to risk as a result of changes in the Company’s probability weighted discounted cash flow model, which is based on internal forecasts, and changes in the Company’s WACC, which is derived from market data.</w:t>
      </w:r>
    </w:p>
    <w:p>
      <w:pPr>
        <w:spacing w:after="0" w:line="14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Approximately 13% of the Company’s workforce is covered by collective bargaining agreements. The Company’s collective bargaining agreements, which generally have three- to five-year terms, expire at various dates through 2027. Terms and conditions of new labor union agreements could increase the Company’s exposure to work interruptions or stoppages.</w:t>
      </w:r>
    </w:p>
    <w:p>
      <w:pPr>
        <w:spacing w:after="0" w:line="143" w:lineRule="exact"/>
        <w:rPr>
          <w:sz w:val="20"/>
          <w:szCs w:val="20"/>
          <w:color w:val="auto"/>
        </w:rPr>
      </w:pPr>
    </w:p>
    <w:p>
      <w:pPr>
        <w:ind w:left="640" w:hanging="635"/>
        <w:spacing w:after="0"/>
        <w:tabs>
          <w:tab w:leader="none" w:pos="64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Accumulated Other Comprehensive Income (Loss)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Accumulated other comprehensive income (loss) (“AOCI(L)”) is comprised of adjustments to the Company’s pension and postretirement medical benefit plans and the foreign currency translation for a subsidiary of the Company that performs data analysis and provides consulting services outside the United States.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is a summary of AOCI(L) for 2022,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Gains (Losses) During the Period</w:t>
            </w:r>
          </w:p>
        </w:tc>
        <w:tc>
          <w:tcPr>
            <w:tcW w:w="200" w:type="dxa"/>
            <w:vAlign w:val="bottom"/>
          </w:tcPr>
          <w:p>
            <w:pPr>
              <w:spacing w:after="0"/>
              <w:rPr>
                <w:sz w:val="16"/>
                <w:szCs w:val="16"/>
                <w:color w:val="auto"/>
              </w:rPr>
            </w:pPr>
          </w:p>
        </w:tc>
        <w:tc>
          <w:tcPr>
            <w:tcW w:w="21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Reclassification to Income</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1"/>
                <w:szCs w:val="11"/>
                <w:color w:val="auto"/>
              </w:rPr>
            </w:pPr>
          </w:p>
        </w:tc>
        <w:tc>
          <w:tcPr>
            <w:tcW w:w="13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169"/>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36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22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20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pension activity:</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Actuarial loss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(78,882)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(71,140)</w:t>
            </w:r>
          </w:p>
        </w:tc>
        <w:tc>
          <w:tcPr>
            <w:tcW w:w="0" w:type="dxa"/>
            <w:vAlign w:val="bottom"/>
          </w:tcPr>
          <w:p>
            <w:pPr>
              <w:spacing w:after="0"/>
              <w:rPr>
                <w:sz w:val="1"/>
                <w:szCs w:val="1"/>
                <w:color w:val="auto"/>
              </w:rPr>
            </w:pPr>
          </w:p>
        </w:tc>
      </w:tr>
      <w:tr>
        <w:trPr>
          <w:trHeight w:val="180"/>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Prior service credits (costs)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postretirement benefits activity:</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gain (loss)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0" w:type="dxa"/>
            <w:vAlign w:val="bottom"/>
          </w:tcPr>
          <w:p>
            <w:pPr>
              <w:spacing w:after="0"/>
              <w:rPr>
                <w:sz w:val="1"/>
                <w:szCs w:val="1"/>
                <w:color w:val="auto"/>
              </w:rPr>
            </w:pPr>
          </w:p>
        </w:tc>
      </w:tr>
      <w:tr>
        <w:trPr>
          <w:trHeight w:val="18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Prior service costs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8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Reclassification of stranded tax effects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(19,720)</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AOCI(L)</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(100,463)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(84,837)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Gains (Losses) During the Period</w:t>
            </w:r>
          </w:p>
        </w:tc>
        <w:tc>
          <w:tcPr>
            <w:tcW w:w="200" w:type="dxa"/>
            <w:vAlign w:val="bottom"/>
          </w:tcPr>
          <w:p>
            <w:pPr>
              <w:spacing w:after="0"/>
              <w:rPr>
                <w:sz w:val="16"/>
                <w:szCs w:val="16"/>
                <w:color w:val="auto"/>
              </w:rPr>
            </w:pPr>
          </w:p>
        </w:tc>
        <w:tc>
          <w:tcPr>
            <w:tcW w:w="21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Reclassification to Income</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29"/>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Tax</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22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20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pension activity:</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Actuarial loss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4,954</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(78,882)</w:t>
            </w:r>
          </w:p>
        </w:tc>
      </w:tr>
      <w:tr>
        <w:trPr>
          <w:trHeight w:val="180"/>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Prior service credits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postretirement benefits activity:</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loss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r>
      <w:tr>
        <w:trPr>
          <w:trHeight w:val="18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Prior service costs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r>
      <w:tr>
        <w:trPr>
          <w:trHeight w:val="180"/>
        </w:trPr>
        <w:tc>
          <w:tcPr>
            <w:tcW w:w="36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Interest rate swap</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stranded tax effects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(19,720)</w:t>
            </w:r>
          </w:p>
        </w:tc>
      </w:tr>
      <w:tr>
        <w:trPr>
          <w:trHeight w:val="17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AOCI(L)</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(119,053)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18,311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(4,496)</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6,346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(100,463)</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right="460" w:hanging="255"/>
        <w:spacing w:after="0" w:line="230" w:lineRule="auto"/>
        <w:tabs>
          <w:tab w:leader="none" w:pos="25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2019, the Company entered into a $100 million fixed rate swap to hedge a portion of the interest rate risk on its previous term loan facility, both of which matured on June 7, 2021. This interest rate swap was designated as a cash flow hedging instrument and changes in its fair value were not material to the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Gains (Losses) During the Period</w:t>
            </w:r>
          </w:p>
        </w:tc>
        <w:tc>
          <w:tcPr>
            <w:tcW w:w="180" w:type="dxa"/>
            <w:vAlign w:val="bottom"/>
          </w:tcPr>
          <w:p>
            <w:pPr>
              <w:spacing w:after="0"/>
              <w:rPr>
                <w:sz w:val="16"/>
                <w:szCs w:val="16"/>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Reclassification to Income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29"/>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169"/>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18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180" w:type="dxa"/>
            <w:vAlign w:val="bottom"/>
          </w:tcPr>
          <w:p>
            <w:pPr>
              <w:spacing w:after="0"/>
              <w:rPr>
                <w:sz w:val="16"/>
                <w:szCs w:val="16"/>
                <w:color w:val="auto"/>
              </w:rPr>
            </w:pPr>
          </w:p>
        </w:tc>
        <w:tc>
          <w:tcPr>
            <w:tcW w:w="12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3"/>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pension activity:</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Actuarial loss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(93,174)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(93,847)</w:t>
            </w:r>
          </w:p>
        </w:tc>
      </w:tr>
      <w:tr>
        <w:trPr>
          <w:trHeight w:val="180"/>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Prior service credits (costs)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postretirement benefits activity:</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loss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(4,328)</w:t>
            </w:r>
          </w:p>
        </w:tc>
      </w:tr>
      <w:tr>
        <w:trPr>
          <w:trHeight w:val="18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Prior service costs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r>
      <w:tr>
        <w:trPr>
          <w:trHeight w:val="18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stranded tax effects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(19,720)</w:t>
            </w:r>
          </w:p>
        </w:tc>
      </w:tr>
      <w:tr>
        <w:trPr>
          <w:trHeight w:val="17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AOCI(L)</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(115,002)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(10,076)</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2,498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4,684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(119,053)</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is a summary of the impact of AOCI(L) on the consolidated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Net Pension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4"/>
          </w:tcPr>
          <w:p>
            <w:pPr>
              <w:jc w:val="right"/>
              <w:ind w:right="269"/>
              <w:spacing w:after="0" w:line="133" w:lineRule="exact"/>
              <w:rPr>
                <w:sz w:val="20"/>
                <w:szCs w:val="20"/>
                <w:color w:val="auto"/>
              </w:rPr>
            </w:pPr>
            <w:r>
              <w:rPr>
                <w:rFonts w:ascii="Times New Roman" w:cs="Times New Roman" w:eastAsia="Times New Roman" w:hAnsi="Times New Roman"/>
                <w:sz w:val="14"/>
                <w:szCs w:val="14"/>
                <w:b w:val="1"/>
                <w:bCs w:val="1"/>
                <w:color w:val="auto"/>
              </w:rPr>
              <w:t>Net Postretirement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Benefits Activity</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 Adjustment</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center"/>
              <w:ind w:right="7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delivery and administrative expenses</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171"/>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 pre-tax</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after tax effect</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3,012</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7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3,355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 Year 2021</w:t>
            </w: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Net Pension</w:t>
            </w:r>
          </w:p>
        </w:tc>
        <w:tc>
          <w:tcPr>
            <w:tcW w:w="160" w:type="dxa"/>
            <w:vAlign w:val="bottom"/>
          </w:tcPr>
          <w:p>
            <w:pPr>
              <w:spacing w:after="0"/>
              <w:rPr>
                <w:sz w:val="11"/>
                <w:szCs w:val="11"/>
                <w:color w:val="auto"/>
              </w:rPr>
            </w:pPr>
          </w:p>
        </w:tc>
        <w:tc>
          <w:tcPr>
            <w:tcW w:w="1600" w:type="dxa"/>
            <w:vAlign w:val="bottom"/>
            <w:gridSpan w:val="4"/>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Net Postretirement</w:t>
            </w:r>
          </w:p>
        </w:tc>
        <w:tc>
          <w:tcPr>
            <w:tcW w:w="100" w:type="dxa"/>
            <w:vAlign w:val="bottom"/>
          </w:tcPr>
          <w:p>
            <w:pPr>
              <w:spacing w:after="0"/>
              <w:rPr>
                <w:sz w:val="11"/>
                <w:szCs w:val="11"/>
                <w:color w:val="auto"/>
              </w:rPr>
            </w:pPr>
          </w:p>
        </w:tc>
        <w:tc>
          <w:tcPr>
            <w:tcW w:w="1180" w:type="dxa"/>
            <w:vAlign w:val="bottom"/>
            <w:gridSpan w:val="4"/>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60" w:type="dxa"/>
            <w:vAlign w:val="bottom"/>
          </w:tcPr>
          <w:p>
            <w:pPr>
              <w:spacing w:after="0"/>
              <w:rPr>
                <w:sz w:val="11"/>
                <w:szCs w:val="11"/>
                <w:color w:val="auto"/>
              </w:rPr>
            </w:pPr>
          </w:p>
        </w:tc>
        <w:tc>
          <w:tcPr>
            <w:tcW w:w="184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160" w:type="dxa"/>
            <w:vAlign w:val="bottom"/>
          </w:tcPr>
          <w:p>
            <w:pPr>
              <w:spacing w:after="0"/>
              <w:rPr>
                <w:sz w:val="16"/>
                <w:szCs w:val="16"/>
                <w:color w:val="auto"/>
              </w:rPr>
            </w:pPr>
          </w:p>
        </w:tc>
        <w:tc>
          <w:tcPr>
            <w:tcW w:w="16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Benefits Activity</w:t>
            </w:r>
          </w:p>
        </w:tc>
        <w:tc>
          <w:tcPr>
            <w:tcW w:w="100" w:type="dxa"/>
            <w:vAlign w:val="bottom"/>
          </w:tcPr>
          <w:p>
            <w:pPr>
              <w:spacing w:after="0"/>
              <w:rPr>
                <w:sz w:val="16"/>
                <w:szCs w:val="16"/>
                <w:color w:val="auto"/>
              </w:rPr>
            </w:pPr>
          </w:p>
        </w:tc>
        <w:tc>
          <w:tcPr>
            <w:tcW w:w="74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Swap</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 Adjustment</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delivery and administrative expenses</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0" w:type="dxa"/>
            <w:vAlign w:val="bottom"/>
          </w:tcPr>
          <w:p>
            <w:pPr>
              <w:spacing w:after="0"/>
              <w:rPr>
                <w:sz w:val="1"/>
                <w:szCs w:val="1"/>
                <w:color w:val="auto"/>
              </w:rPr>
            </w:pPr>
          </w:p>
        </w:tc>
      </w:tr>
      <w:tr>
        <w:trPr>
          <w:trHeight w:val="171"/>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 pre-tax</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6,346</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after tax effect</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4,775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2020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Net Pension</w:t>
            </w:r>
          </w:p>
        </w:tc>
        <w:tc>
          <w:tcPr>
            <w:tcW w:w="140" w:type="dxa"/>
            <w:vAlign w:val="bottom"/>
          </w:tcPr>
          <w:p>
            <w:pPr>
              <w:spacing w:after="0"/>
              <w:rPr>
                <w:sz w:val="11"/>
                <w:szCs w:val="11"/>
                <w:color w:val="auto"/>
              </w:rPr>
            </w:pPr>
          </w:p>
        </w:tc>
        <w:tc>
          <w:tcPr>
            <w:tcW w:w="1620" w:type="dxa"/>
            <w:vAlign w:val="bottom"/>
            <w:gridSpan w:val="4"/>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Net Postretirement</w:t>
            </w:r>
          </w:p>
        </w:tc>
        <w:tc>
          <w:tcPr>
            <w:tcW w:w="100" w:type="dxa"/>
            <w:vAlign w:val="bottom"/>
          </w:tcPr>
          <w:p>
            <w:pPr>
              <w:spacing w:after="0"/>
              <w:rPr>
                <w:sz w:val="11"/>
                <w:szCs w:val="11"/>
                <w:color w:val="auto"/>
              </w:rPr>
            </w:pPr>
          </w:p>
        </w:tc>
        <w:tc>
          <w:tcPr>
            <w:tcW w:w="1040" w:type="dxa"/>
            <w:vAlign w:val="bottom"/>
            <w:gridSpan w:val="4"/>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gridSpan w:val="7"/>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91"/>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140" w:type="dxa"/>
            <w:vAlign w:val="bottom"/>
          </w:tcPr>
          <w:p>
            <w:pPr>
              <w:spacing w:after="0"/>
              <w:rPr>
                <w:sz w:val="16"/>
                <w:szCs w:val="16"/>
                <w:color w:val="auto"/>
              </w:rPr>
            </w:pPr>
          </w:p>
        </w:tc>
        <w:tc>
          <w:tcPr>
            <w:tcW w:w="16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Benefits Activity</w:t>
            </w:r>
          </w:p>
        </w:tc>
        <w:tc>
          <w:tcPr>
            <w:tcW w:w="100" w:type="dxa"/>
            <w:vAlign w:val="bottom"/>
          </w:tcPr>
          <w:p>
            <w:pPr>
              <w:spacing w:after="0"/>
              <w:rPr>
                <w:sz w:val="16"/>
                <w:szCs w:val="16"/>
                <w:color w:val="auto"/>
              </w:rPr>
            </w:pPr>
          </w:p>
        </w:tc>
        <w:tc>
          <w:tcPr>
            <w:tcW w:w="10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Swap</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Translation Adjustment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Selling, delivery and administrative expenses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9"/>
              </w:rPr>
              <w:t>41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 pre-tax</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9"/>
              </w:rPr>
              <w:t>11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after tax effect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3,527</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22.</w:t>
            </w:r>
          </w:p>
        </w:tc>
        <w:tc>
          <w:tcPr>
            <w:tcW w:w="366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40" w:type="dxa"/>
            <w:vAlign w:val="bottom"/>
            <w:vMerge w:val="continue"/>
          </w:tcPr>
          <w:p>
            <w:pPr>
              <w:spacing w:after="0"/>
              <w:rPr>
                <w:sz w:val="24"/>
                <w:szCs w:val="24"/>
                <w:color w:val="auto"/>
              </w:rPr>
            </w:pPr>
          </w:p>
        </w:tc>
        <w:tc>
          <w:tcPr>
            <w:tcW w:w="3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3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Changes in current assets and current liabilities affecting cash were as follows: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trade</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(59,777)</w:t>
            </w:r>
          </w:p>
        </w:tc>
        <w:tc>
          <w:tcPr>
            <w:tcW w:w="1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from The Coca-Cola Company</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Accounts receivable, other</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(20,753)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(77,094)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(16,201)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(4,685)</w:t>
            </w:r>
          </w:p>
        </w:tc>
        <w:tc>
          <w:tcPr>
            <w:tcW w:w="0" w:type="dxa"/>
            <w:vAlign w:val="bottom"/>
          </w:tcPr>
          <w:p>
            <w:pPr>
              <w:spacing w:after="0"/>
              <w:rPr>
                <w:sz w:val="1"/>
                <w:szCs w:val="1"/>
                <w:color w:val="auto"/>
              </w:rPr>
            </w:pPr>
          </w:p>
        </w:tc>
      </w:tr>
      <w:tr>
        <w:trPr>
          <w:trHeight w:val="180"/>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trade</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Accounts payable to The Coca-Cola Company</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(1,518)</w:t>
            </w:r>
          </w:p>
        </w:tc>
        <w:tc>
          <w:tcPr>
            <w:tcW w:w="0" w:type="dxa"/>
            <w:vAlign w:val="bottom"/>
          </w:tcPr>
          <w:p>
            <w:pPr>
              <w:spacing w:after="0"/>
              <w:rPr>
                <w:sz w:val="1"/>
                <w:szCs w:val="1"/>
                <w:color w:val="auto"/>
              </w:rPr>
            </w:pPr>
          </w:p>
        </w:tc>
      </w:tr>
      <w:tr>
        <w:trPr>
          <w:trHeight w:val="180"/>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(22,399)</w:t>
            </w:r>
          </w:p>
        </w:tc>
        <w:tc>
          <w:tcPr>
            <w:tcW w:w="0" w:type="dxa"/>
            <w:vAlign w:val="bottom"/>
          </w:tcPr>
          <w:p>
            <w:pPr>
              <w:spacing w:after="0"/>
              <w:rPr>
                <w:sz w:val="1"/>
                <w:szCs w:val="1"/>
                <w:color w:val="auto"/>
              </w:rPr>
            </w:pPr>
          </w:p>
        </w:tc>
      </w:tr>
      <w:tr>
        <w:trPr>
          <w:trHeight w:val="180"/>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16,027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80"/>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(1,002)</w:t>
            </w:r>
          </w:p>
        </w:tc>
        <w:tc>
          <w:tcPr>
            <w:tcW w:w="0" w:type="dxa"/>
            <w:vAlign w:val="bottom"/>
          </w:tcPr>
          <w:p>
            <w:pPr>
              <w:spacing w:after="0"/>
              <w:rPr>
                <w:sz w:val="1"/>
                <w:szCs w:val="1"/>
                <w:color w:val="auto"/>
              </w:rPr>
            </w:pPr>
          </w:p>
        </w:tc>
      </w:tr>
      <w:tr>
        <w:trPr>
          <w:trHeight w:val="171"/>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current assets less current liabilities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(74,784)</w:t>
            </w:r>
          </w:p>
        </w:tc>
        <w:tc>
          <w:tcPr>
            <w:tcW w:w="100" w:type="dxa"/>
            <w:vAlign w:val="bottom"/>
          </w:tcPr>
          <w:p>
            <w:pPr>
              <w:spacing w:after="0"/>
              <w:rPr>
                <w:sz w:val="14"/>
                <w:szCs w:val="14"/>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30,595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36,901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1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The Company had the following net cash payments during the period for interest and income taxes: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140,988</w:t>
            </w:r>
          </w:p>
        </w:tc>
        <w:tc>
          <w:tcPr>
            <w:tcW w:w="1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28,086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53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Company had the following significant non-cash investing and financing activities: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1080" w:type="dxa"/>
            <w:vAlign w:val="bottom"/>
            <w:gridSpan w:val="6"/>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(reductions) to leased property under financing leases</w:t>
            </w: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8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Additions to property, plant and equipment accrued and recorded in accounts payable, trade</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44,775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35,809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but not yet paid</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obligations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26,907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0"/>
        </w:trPr>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40" w:type="dxa"/>
            <w:vAlign w:val="bottom"/>
            <w:tcBorders>
              <w:bottom w:val="single" w:sz="8" w:color="9A9A9A"/>
            </w:tcBorders>
          </w:tcPr>
          <w:p>
            <w:pPr>
              <w:spacing w:after="0"/>
              <w:rPr>
                <w:sz w:val="7"/>
                <w:szCs w:val="7"/>
                <w:color w:val="auto"/>
              </w:rPr>
            </w:pPr>
          </w:p>
        </w:tc>
        <w:tc>
          <w:tcPr>
            <w:tcW w:w="3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76" w:name="page77"/>
    <w:bookmarkEnd w:id="76"/>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Management of Coca-Cola Consolidated, Inc. (the “Company”) is responsible for establishing and maintaining adequate internal control over financial reporting as such term is defined in Rules 13a-15(f) and 15d-15(f) under the Securities Exchange Act of 1934, as amended. The Company’s internal control over financial reporting is a process designed under the supervision of the Company’s chief executive and chief financial officers to provide reasonable assurance regarding the reliability of financial reporting and the preparation of the Company’s consolidated financial statements for external purposes in accordance with accounting principles generally accepted in the United States. The Company’s internal control over financial reporting includes policies and procedures that:</w:t>
      </w:r>
    </w:p>
    <w:p>
      <w:pPr>
        <w:spacing w:after="0" w:line="162" w:lineRule="exact"/>
        <w:rPr>
          <w:sz w:val="20"/>
          <w:szCs w:val="20"/>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transactions and dispositions of assets of the Company;</w:t>
      </w:r>
    </w:p>
    <w:p>
      <w:pPr>
        <w:spacing w:after="0" w:line="23" w:lineRule="exact"/>
        <w:rPr>
          <w:rFonts w:ascii="Times New Roman" w:cs="Times New Roman" w:eastAsia="Times New Roman" w:hAnsi="Times New Roman"/>
          <w:sz w:val="14"/>
          <w:szCs w:val="14"/>
          <w:color w:val="auto"/>
        </w:rPr>
      </w:pPr>
    </w:p>
    <w:p>
      <w:pPr>
        <w:ind w:left="260" w:right="100" w:hanging="255"/>
        <w:spacing w:after="0" w:line="253" w:lineRule="auto"/>
        <w:tabs>
          <w:tab w:leader="none" w:pos="2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w:t>
      </w:r>
    </w:p>
    <w:p>
      <w:pPr>
        <w:ind w:left="260" w:right="40" w:hanging="255"/>
        <w:spacing w:after="0" w:line="266" w:lineRule="auto"/>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Company’s financial statements.</w:t>
      </w:r>
    </w:p>
    <w:p>
      <w:pPr>
        <w:spacing w:after="0" w:line="15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all misstatements. Also, projections of any evaluation of effectiveness to future periods are subject to the risk that controls may become inadequate due to changes in conditions, or that the degree of compliance with the policies or procedures may deteriorate.</w:t>
      </w:r>
    </w:p>
    <w:p>
      <w:pPr>
        <w:spacing w:after="0" w:line="143" w:lineRule="exact"/>
        <w:rPr>
          <w:sz w:val="20"/>
          <w:szCs w:val="20"/>
          <w:color w:val="auto"/>
        </w:rPr>
      </w:pPr>
    </w:p>
    <w:p>
      <w:pPr>
        <w:jc w:val="both"/>
        <w:ind w:right="280"/>
        <w:spacing w:after="0" w:line="271" w:lineRule="auto"/>
        <w:rPr>
          <w:sz w:val="20"/>
          <w:szCs w:val="20"/>
          <w:color w:val="auto"/>
        </w:rPr>
      </w:pPr>
      <w:r>
        <w:rPr>
          <w:rFonts w:ascii="Times New Roman" w:cs="Times New Roman" w:eastAsia="Times New Roman" w:hAnsi="Times New Roman"/>
          <w:sz w:val="14"/>
          <w:szCs w:val="14"/>
          <w:color w:val="auto"/>
        </w:rPr>
        <w:t xml:space="preserve">As of December 31, 2022, management assessed the effectiveness of the Company’s internal control over financial reporting based on the framework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(2013) </w:t>
      </w:r>
      <w:r>
        <w:rPr>
          <w:rFonts w:ascii="Times New Roman" w:cs="Times New Roman" w:eastAsia="Times New Roman" w:hAnsi="Times New Roman"/>
          <w:sz w:val="14"/>
          <w:szCs w:val="14"/>
          <w:color w:val="auto"/>
        </w:rPr>
        <w:t>issued by the Committee of Sponsoring Organizations of the Treadway Commission (COSO). Based on this assessment, management determined that the Company’s internal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control over financial reporting as of December 31, 2022 was effective.</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effectiveness of the Company’s internal control over financial reporting as of December 31, 2022, has been audited by PricewaterhouseCoopers LLP (PCAOB ID 238), an independent registered public accounting firm, which is included in Item 8 of this report.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2023</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32" w:right="359" w:bottom="1440" w:gutter="0" w:footer="0" w:header="0"/>
        </w:sectPr>
      </w:pPr>
    </w:p>
    <w:bookmarkStart w:id="77" w:name="page78"/>
    <w:bookmarkEnd w:id="77"/>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To the Board of Directors and Stockholders of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Consolidated,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181" w:lineRule="exact"/>
        <w:rPr>
          <w:sz w:val="20"/>
          <w:szCs w:val="20"/>
          <w:color w:val="auto"/>
        </w:rPr>
      </w:pPr>
    </w:p>
    <w:p>
      <w:pPr>
        <w:spacing w:after="0" w:line="177" w:lineRule="exact"/>
        <w:rPr>
          <w:sz w:val="20"/>
          <w:szCs w:val="20"/>
          <w:color w:val="auto"/>
        </w:rPr>
      </w:pPr>
      <w:r>
        <w:rPr>
          <w:rFonts w:ascii="Times New Roman" w:cs="Times New Roman" w:eastAsia="Times New Roman" w:hAnsi="Times New Roman"/>
          <w:sz w:val="14"/>
          <w:szCs w:val="14"/>
          <w:color w:val="auto"/>
        </w:rPr>
        <w:t>We have audited the accompanying consolidated balance sheets of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Cola Consolidated, Inc. and its subsidiaries (the “Company”) as of December 31, 2022 and 2021, and the related consolidated statements of operations, of comprehensive income, of changes in stockholders’ equity and of cash flows for each of the three years in the period ended December 31, 2022, including the related notes and schedule of valuation and qualifying accounts and reserves for each of the three years in the period ended December 31, 2022 appearing under Item 15(a)(2)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w:t>
      </w:r>
      <w:r>
        <w:rPr>
          <w:rFonts w:ascii="Times New Roman" w:cs="Times New Roman" w:eastAsia="Times New Roman" w:hAnsi="Times New Roman"/>
          <w:sz w:val="14"/>
          <w:szCs w:val="14"/>
          <w:color w:val="auto"/>
        </w:rPr>
        <w:t>(2013) issued by the Committee of Sponsoring Organizations of the Treadway Commission (COSO).</w:t>
      </w:r>
    </w:p>
    <w:p>
      <w:pPr>
        <w:spacing w:after="0" w:line="17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w:t>
      </w:r>
      <w:r>
        <w:rPr>
          <w:rFonts w:ascii="Times New Roman" w:cs="Times New Roman" w:eastAsia="Times New Roman" w:hAnsi="Times New Roman"/>
          <w:sz w:val="14"/>
          <w:szCs w:val="14"/>
          <w:color w:val="auto"/>
        </w:rPr>
        <w:t>(2013) issued by the COSO.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Related Contingent Consideration Liability</w:t>
      </w:r>
    </w:p>
    <w:p>
      <w:pPr>
        <w:spacing w:after="0" w:line="202" w:lineRule="exact"/>
        <w:rPr>
          <w:sz w:val="20"/>
          <w:szCs w:val="20"/>
          <w:color w:val="auto"/>
        </w:rPr>
      </w:pPr>
    </w:p>
    <w:p>
      <w:pPr>
        <w:spacing w:after="0" w:line="172" w:lineRule="exact"/>
        <w:rPr>
          <w:sz w:val="20"/>
          <w:szCs w:val="20"/>
          <w:color w:val="auto"/>
        </w:rPr>
      </w:pPr>
      <w:r>
        <w:rPr>
          <w:rFonts w:ascii="Times New Roman" w:cs="Times New Roman" w:eastAsia="Times New Roman" w:hAnsi="Times New Roman"/>
          <w:sz w:val="14"/>
          <w:szCs w:val="14"/>
          <w:color w:val="auto"/>
        </w:rPr>
        <w:t>As described in Notes 1, 2, and 14 to the consolidated financial statements, the fair value of the acquisition related contingent consideration liability was $541.5 million as of December 31, 2022, which consists of the estimated amounts due to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under the Company’s comprehensive beverage agreements (collectively, the “CBA”) with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Refreshments USA, Inc. (“CCR”), a wholly owned subsidiary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over the useful life of the related distribution rights. The CBA relates to a multi-year series of transactions, which were completed in October 2017, through which the Company acquired and exchanged distribution territories and manufacturing plants. Pursuant to the CBA, the Company is required to make quarterly acquisition related sub-bottling payments to CCR on a continuing basis in exchange for the grant of exclusive rights to distribute, promote, market and sell the authorized brands of The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Company and related products in certain distribution territories the Company acquired from CCR. Each reporting period, the Company adjusts its acquisition related contingent consideration liability related to the distribution territories subject to acquisition related sub-bottling payments to fair value by using a probability weighted discounted cash flow model and discounting future expected acquisition related sub-bottling payments required under the CBA using the Company’s estimated weighted average cost of capital (“WACC”). These future expected acquisition related sub-bottling payments extend through the life of the related distribution assets acquired in each distribution territory, which is generally forty years. As a result, the fair value of the acquisition related contingent consideration liability is impacted by the Company’s WACC, management’s estimate of the acquisition related sub-bottling payments that will be made in the future under the CBA, and current acquisition related sub-bottling payments.</w:t>
      </w:r>
    </w:p>
    <w:p>
      <w:pPr>
        <w:spacing w:after="0" w:line="17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acquisition related contingent consideration liability is a critical audit matter are (i) the significant judgment by management when estimating the fair value of the acquisition related contingent consideration liability, which in turn led to (ii) a high degree of auditor judgment, subjectivity, and effort in performing procedures and evaluating management’s significant assumptions related to the WACC and current and future acquisition related sub-bottling payments under the CBA, and (iii) the audit effort involved the use of professionals with specialized skill and knowledge.</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the acquisition related contingent consideration liability. These procedures also included, among others, testing management’s process for determining the fair value of the acquisition related contingent consideration liability; evaluating the appropriateness of the discounted cash flow model; testing the completeness and accuracy of the underlying data used in the model; and evaluating the reasonableness of the significant assumptions related to the WACC and current and future acquisition related sub-bottling payments under the CBA. Evaluating management’s assumptions related to the WACC and current and future acquisition related sub-bottling payments involved evaluating whether the assumptions used were reasonable considering (i) the current and past performance of the distribution territories acquired from CCR, (ii) relevant industry forecasts and macroeconomic conditions,</w:t>
      </w:r>
    </w:p>
    <w:p>
      <w:pPr>
        <w:spacing w:after="0" w:line="2" w:lineRule="exact"/>
        <w:rPr>
          <w:sz w:val="20"/>
          <w:szCs w:val="20"/>
          <w:color w:val="auto"/>
        </w:rPr>
      </w:pPr>
    </w:p>
    <w:p>
      <w:pPr>
        <w:ind w:right="360" w:firstLine="5"/>
        <w:spacing w:after="0" w:line="266" w:lineRule="auto"/>
        <w:tabs>
          <w:tab w:leader="none" w:pos="24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historical forecasting accuracy, and (iv) whether these assumptions were consistent with evidence obtained in other areas of the audit. Professionals with specialized skill and knowledge were used to assist in evaluating the appropriateness of the discounted cash flow model and evaluating the reasonableness of the WACC.</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at least 1972. We have not been able to determine the specific year we began serving as auditor of the Company.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auto"/>
        </w:rPr>
        <w:t>The financial statement schedule required by Regulation S-X is set forth in response to Item 15 below.</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As of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defined in Rule 13a-15(e) of the Securities Exchange Act of 1934, as amended (the “Exchange Act”)) pursuant to Rule 13a-15(b) of the Exchange Act. Based upon that evaluation, the Chief Executive Officer and the Chief Financial Officer concluded that the Company’s disclosure controls and procedures were effective as of December 31, 2022.</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Management’s report on internal control over financial reporting required by Section 404 of the Sarbanes-Oxley Act of 2002 and the report of PricewaterhouseCoopers LLP, an independent registered public accounting firm, on the consolidated financial statements, and its opinion on the effectiveness of the Company’s internal control over financial reporting as of December 31, 2022 are included in Item 8 of this report.</w:t>
      </w:r>
    </w:p>
    <w:p>
      <w:pPr>
        <w:spacing w:after="0" w:line="15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There has been no change in the Company’s internal control over financial reporting during the quarter ended December 31, 2022 that has materially affected, or is reasonably likely to materially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0" w:name="page81"/>
    <w:bookmarkEnd w:id="8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2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For information with respect to the executive officers of the Company, see “Information About Our Executive Officers” included as a separate item at the end of Part I of this report, which is incorporated herein by reference. For information with respect to the directors of the Company, see “Proposal 1: Election of Directors” in the definitive proxy statement for the Company’s 2023 Annual Meeting of Stockholders (the “2023 Proxy Statement”), which is incorporated herein by reference. For information with respect to the Audit Committee of the Board of Directors, see the “Corporate Governance – Board Committees” section of the 2023 Proxy Statement, which is incorporated herein by reference.</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adopted a Code of Ethics for Senior Financial Officers (the “Code of Ethics”), which is intended to qualify as a “code of ethics” within the meaning of Item 406 of Regulation S-K of the Exchange Act. The Code of Ethics applies to the Company’s principal executive officer, principal financial officer, principal accounting officer and persons performing similar functions. The Code of Ethics is available on the Company’s website at </w:t>
      </w:r>
      <w:r>
        <w:rPr>
          <w:rFonts w:ascii="Times New Roman" w:cs="Times New Roman" w:eastAsia="Times New Roman" w:hAnsi="Times New Roman"/>
          <w:sz w:val="14"/>
          <w:szCs w:val="14"/>
          <w:i w:val="1"/>
          <w:iCs w:val="1"/>
          <w:color w:val="auto"/>
        </w:rPr>
        <w:t>www.cokeconsolidated.com</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The Company will disclose information pertaining to any amendment to, or waiver from, the provisions of the Code of Ethics that apply to the Company’s principal executive officer, principal financial officer, principal accounting officer or persons performing similar functions and that relate to any element of the Code of Ethics enumerated in the SEC rules and regulations by posting this information on the Company’s website, </w:t>
      </w:r>
      <w:r>
        <w:rPr>
          <w:rFonts w:ascii="Times New Roman" w:cs="Times New Roman" w:eastAsia="Times New Roman" w:hAnsi="Times New Roman"/>
          <w:sz w:val="14"/>
          <w:szCs w:val="14"/>
          <w:i w:val="1"/>
          <w:iCs w:val="1"/>
          <w:color w:val="auto"/>
        </w:rPr>
        <w:t>www.cokeconsolidated.com.</w:t>
      </w:r>
      <w:r>
        <w:rPr>
          <w:rFonts w:ascii="Times New Roman" w:cs="Times New Roman" w:eastAsia="Times New Roman" w:hAnsi="Times New Roman"/>
          <w:sz w:val="14"/>
          <w:szCs w:val="14"/>
          <w:color w:val="auto"/>
        </w:rPr>
        <w:t xml:space="preserve"> The information on the Company’s website or linked to or from the Company’s website is not incorporated by reference into, and does not constitute a part of, this report or any other documents the Company files with, or furnishes to, the SEC.</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Item 11.</w:t>
        <w:tab/>
        <w:t>Executive Compensation.</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For information with respect to executive and director compensation, see the “Compensation Discussion and Analysis,” “Executive Compensation Tables,” “Consideration of Risk Related to Compensation Programs,” “Compensation Committee Interlocks and Insider Participation,” “Compensation Committee Report” and “Director Compensation” sections of the 2023 Proxy Statement, which are incorporated herein by reference.</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For information with respect to security ownership of certain beneficial owners and management, see the “Principal Stockholders” and “Security Ownership of Directors and Executive Officers” sections of the 2023 Proxy Statement, which are incorporated herein by reference. For information with respect to securities authorized for issuance under the Company’s equity compensation plans, see the “Equity Compensation Plan Information” section of the 2023 Proxy Statement, which is incorporated herein by reference.</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information with respect to certain relationships and related transactions, see the “Corporate Governance – Policy for Review of Related Person Transactions” and “Corporate Governance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Person Transactions” sections of the 2023 Proxy Statement, which are incorporated herein by reference. For information with respect to director independence, see the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Governance – Director Independence” section of the 2023 Proxy Statement, which is incorporated herein by reference.</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tab/>
        <w:t>Principal Accountant Fees and Services.</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For information with respect to principal accountant fees and services, see “Proposal 2: Ratification of the Appointment of Independent Registered Public Accounting Firm” in the 2023 Proxy Statement, which is incorporated herein by reference.</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632" w:right="379" w:bottom="1440" w:gutter="0" w:footer="0" w:header="0"/>
        </w:sectPr>
      </w:pPr>
    </w:p>
    <w:bookmarkStart w:id="81" w:name="page82"/>
    <w:bookmarkEnd w:id="81"/>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15.</w:t>
        <w:tab/>
        <w:t>Exhibits and Financial Statement Schedules.</w:t>
      </w:r>
    </w:p>
    <w:p>
      <w:pPr>
        <w:spacing w:after="0" w:line="202" w:lineRule="exact"/>
        <w:rPr>
          <w:sz w:val="20"/>
          <w:szCs w:val="20"/>
          <w:color w:val="auto"/>
        </w:rPr>
      </w:pPr>
    </w:p>
    <w:p>
      <w:pPr>
        <w:ind w:left="520" w:hanging="515"/>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 of documents filed as part of this report.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w:t>
            </w:r>
          </w:p>
        </w:tc>
        <w:tc>
          <w:tcPr>
            <w:tcW w:w="7020" w:type="dxa"/>
            <w:vAlign w:val="bottom"/>
            <w:gridSpan w:val="9"/>
          </w:tcPr>
          <w:p>
            <w:pPr>
              <w:ind w:left="200"/>
              <w:spacing w:after="0"/>
              <w:rPr>
                <w:sz w:val="20"/>
                <w:szCs w:val="20"/>
                <w:color w:val="auto"/>
              </w:rPr>
            </w:pPr>
            <w:r>
              <w:rPr>
                <w:rFonts w:ascii="Times New Roman" w:cs="Times New Roman" w:eastAsia="Times New Roman" w:hAnsi="Times New Roman"/>
                <w:sz w:val="14"/>
                <w:szCs w:val="14"/>
                <w:color w:val="auto"/>
              </w:rPr>
              <w:t>Financial Statements</w:t>
            </w:r>
          </w:p>
        </w:tc>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61"/>
        </w:trPr>
        <w:tc>
          <w:tcPr>
            <w:tcW w:w="20" w:type="dxa"/>
            <w:vAlign w:val="bottom"/>
          </w:tcPr>
          <w:p>
            <w:pPr>
              <w:spacing w:after="0"/>
              <w:rPr>
                <w:sz w:val="24"/>
                <w:szCs w:val="24"/>
                <w:color w:val="auto"/>
              </w:rPr>
            </w:pPr>
          </w:p>
        </w:tc>
        <w:tc>
          <w:tcPr>
            <w:tcW w:w="2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5100" w:type="dxa"/>
            <w:vAlign w:val="bottom"/>
            <w:gridSpan w:val="7"/>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37</w:t>
            </w:r>
          </w:p>
        </w:tc>
      </w:tr>
      <w:tr>
        <w:trPr>
          <w:trHeight w:val="160"/>
        </w:trPr>
        <w:tc>
          <w:tcPr>
            <w:tcW w:w="20" w:type="dxa"/>
            <w:vAlign w:val="bottom"/>
          </w:tcPr>
          <w:p>
            <w:pPr>
              <w:spacing w:after="0"/>
              <w:rPr>
                <w:sz w:val="13"/>
                <w:szCs w:val="13"/>
                <w:color w:val="auto"/>
              </w:rPr>
            </w:pPr>
          </w:p>
        </w:tc>
        <w:tc>
          <w:tcPr>
            <w:tcW w:w="2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4380" w:type="dxa"/>
            <w:vAlign w:val="bottom"/>
            <w:gridSpan w:val="4"/>
          </w:tcPr>
          <w:p>
            <w:pPr>
              <w:spacing w:after="0"/>
              <w:rPr>
                <w:sz w:val="13"/>
                <w:szCs w:val="13"/>
                <w:color w:val="auto"/>
              </w:rPr>
            </w:pPr>
          </w:p>
        </w:tc>
        <w:tc>
          <w:tcPr>
            <w:tcW w:w="350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38</w:t>
            </w:r>
          </w:p>
        </w:tc>
      </w:tr>
      <w:tr>
        <w:trPr>
          <w:trHeight w:val="160"/>
        </w:trPr>
        <w:tc>
          <w:tcPr>
            <w:tcW w:w="20" w:type="dxa"/>
            <w:vAlign w:val="bottom"/>
          </w:tcPr>
          <w:p>
            <w:pPr>
              <w:spacing w:after="0"/>
              <w:rPr>
                <w:sz w:val="13"/>
                <w:szCs w:val="13"/>
                <w:color w:val="auto"/>
              </w:rPr>
            </w:pPr>
          </w:p>
        </w:tc>
        <w:tc>
          <w:tcPr>
            <w:tcW w:w="73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39</w:t>
            </w:r>
          </w:p>
        </w:tc>
      </w:tr>
      <w:tr>
        <w:trPr>
          <w:trHeight w:val="20"/>
        </w:trPr>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060" w:type="dxa"/>
            <w:vAlign w:val="bottom"/>
            <w:gridSpan w:val="6"/>
          </w:tcPr>
          <w:p>
            <w:pPr>
              <w:spacing w:after="0"/>
              <w:rPr>
                <w:sz w:val="13"/>
                <w:szCs w:val="13"/>
                <w:color w:val="auto"/>
              </w:rPr>
            </w:pPr>
          </w:p>
        </w:tc>
        <w:tc>
          <w:tcPr>
            <w:tcW w:w="350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40</w:t>
            </w:r>
          </w:p>
        </w:tc>
      </w:tr>
      <w:tr>
        <w:trPr>
          <w:trHeight w:val="160"/>
        </w:trPr>
        <w:tc>
          <w:tcPr>
            <w:tcW w:w="20" w:type="dxa"/>
            <w:vAlign w:val="bottom"/>
          </w:tcPr>
          <w:p>
            <w:pPr>
              <w:spacing w:after="0"/>
              <w:rPr>
                <w:sz w:val="13"/>
                <w:szCs w:val="13"/>
                <w:color w:val="auto"/>
              </w:rPr>
            </w:pPr>
          </w:p>
        </w:tc>
        <w:tc>
          <w:tcPr>
            <w:tcW w:w="3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Changes in Stockholders’ Equity</w:t>
            </w:r>
          </w:p>
        </w:tc>
        <w:tc>
          <w:tcPr>
            <w:tcW w:w="3860" w:type="dxa"/>
            <w:vAlign w:val="bottom"/>
            <w:gridSpan w:val="2"/>
          </w:tcPr>
          <w:p>
            <w:pPr>
              <w:spacing w:after="0"/>
              <w:rPr>
                <w:sz w:val="13"/>
                <w:szCs w:val="13"/>
                <w:color w:val="auto"/>
              </w:rPr>
            </w:pPr>
          </w:p>
        </w:tc>
        <w:tc>
          <w:tcPr>
            <w:tcW w:w="350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41</w:t>
            </w: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4840" w:type="dxa"/>
            <w:vAlign w:val="bottom"/>
            <w:gridSpan w:val="5"/>
          </w:tcPr>
          <w:p>
            <w:pPr>
              <w:spacing w:after="0"/>
              <w:rPr>
                <w:sz w:val="13"/>
                <w:szCs w:val="13"/>
                <w:color w:val="auto"/>
              </w:rPr>
            </w:pPr>
          </w:p>
        </w:tc>
        <w:tc>
          <w:tcPr>
            <w:tcW w:w="350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42</w:t>
            </w:r>
          </w:p>
        </w:tc>
      </w:tr>
      <w:tr>
        <w:trPr>
          <w:trHeight w:val="160"/>
        </w:trPr>
        <w:tc>
          <w:tcPr>
            <w:tcW w:w="20" w:type="dxa"/>
            <w:vAlign w:val="bottom"/>
          </w:tcPr>
          <w:p>
            <w:pPr>
              <w:spacing w:after="0"/>
              <w:rPr>
                <w:sz w:val="13"/>
                <w:szCs w:val="13"/>
                <w:color w:val="auto"/>
              </w:rPr>
            </w:pPr>
          </w:p>
        </w:tc>
        <w:tc>
          <w:tcPr>
            <w:tcW w:w="3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Management’s Report on Internal Control over Financial Reporting</w:t>
            </w:r>
          </w:p>
        </w:tc>
        <w:tc>
          <w:tcPr>
            <w:tcW w:w="35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75</w:t>
            </w:r>
          </w:p>
        </w:tc>
      </w:tr>
      <w:tr>
        <w:trPr>
          <w:trHeight w:val="160"/>
        </w:trPr>
        <w:tc>
          <w:tcPr>
            <w:tcW w:w="20" w:type="dxa"/>
            <w:vAlign w:val="bottom"/>
          </w:tcPr>
          <w:p>
            <w:pPr>
              <w:spacing w:after="0"/>
              <w:rPr>
                <w:sz w:val="13"/>
                <w:szCs w:val="13"/>
                <w:color w:val="auto"/>
              </w:rPr>
            </w:pPr>
          </w:p>
        </w:tc>
        <w:tc>
          <w:tcPr>
            <w:tcW w:w="3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4000" w:type="dxa"/>
            <w:vAlign w:val="bottom"/>
            <w:gridSpan w:val="3"/>
          </w:tcPr>
          <w:p>
            <w:pPr>
              <w:spacing w:after="0"/>
              <w:rPr>
                <w:sz w:val="13"/>
                <w:szCs w:val="13"/>
                <w:color w:val="auto"/>
              </w:rPr>
            </w:pPr>
          </w:p>
        </w:tc>
        <w:tc>
          <w:tcPr>
            <w:tcW w:w="350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76</w:t>
            </w:r>
          </w:p>
        </w:tc>
      </w:tr>
    </w:tbl>
    <w:p>
      <w:pPr>
        <w:spacing w:after="0" w:line="272" w:lineRule="exact"/>
        <w:rPr>
          <w:sz w:val="20"/>
          <w:szCs w:val="20"/>
          <w:color w:val="auto"/>
        </w:rPr>
      </w:pPr>
    </w:p>
    <w:p>
      <w:pPr>
        <w:ind w:left="520" w:hanging="515"/>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 Schedule included under Item 15 hereof, as required for the years ended December 31, 2022, December 31, 2021 and December 31, 2020, consisted of the following:</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9"/>
              </w:rPr>
              <w:t>Schedule II - Valuation and Qualifying Accounts and Reserves</w:t>
            </w:r>
          </w:p>
        </w:tc>
        <w:tc>
          <w:tcPr>
            <w:tcW w:w="72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86</w:t>
            </w:r>
          </w:p>
        </w:tc>
      </w:tr>
    </w:tbl>
    <w:p>
      <w:pPr>
        <w:spacing w:after="0" w:line="26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All other financial statements and schedules not listed have been omitted because the required information is included in the consolidated financial statements or the notes thereto, or is not applicable or required.</w:t>
      </w:r>
    </w:p>
    <w:p>
      <w:pPr>
        <w:spacing w:after="0" w:line="145" w:lineRule="exact"/>
        <w:rPr>
          <w:sz w:val="20"/>
          <w:szCs w:val="20"/>
          <w:color w:val="auto"/>
        </w:rPr>
      </w:pPr>
    </w:p>
    <w:p>
      <w:pPr>
        <w:ind w:left="520" w:hanging="515"/>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Listing of Exhibits</w:t>
      </w:r>
    </w:p>
    <w:p>
      <w:pPr>
        <w:spacing w:after="0" w:line="200"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The agreements included in the following exhibits to this report are included to provide information regarding their terms and are not intended to provide any other factual or disclosure information about the Company or the other parties to the agreements. Some of the agreements contain representations and warranties by each of the parties to the applicable agreements. These representations and warranties have been made solely for the benefit of the other parties to the applicable agreements and:</w:t>
      </w:r>
    </w:p>
    <w:p>
      <w:pPr>
        <w:spacing w:after="0" w:line="157"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not in all instances be treated as categorical statements of fact, but rather as a way of allocating the risk to one of the parties if those statements prove to be inaccurate;</w:t>
      </w:r>
    </w:p>
    <w:p>
      <w:pPr>
        <w:spacing w:after="0" w:line="23" w:lineRule="exact"/>
        <w:rPr>
          <w:rFonts w:ascii="Times New Roman" w:cs="Times New Roman" w:eastAsia="Times New Roman" w:hAnsi="Times New Roman"/>
          <w:sz w:val="14"/>
          <w:szCs w:val="14"/>
          <w:color w:val="auto"/>
        </w:rPr>
      </w:pPr>
    </w:p>
    <w:p>
      <w:pPr>
        <w:ind w:left="260" w:right="220" w:hanging="255"/>
        <w:spacing w:after="0" w:line="253" w:lineRule="auto"/>
        <w:tabs>
          <w:tab w:leader="none" w:pos="25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have been qualified by disclosures that were made to the other party in connection with the negotiation of the applicable agreement, which disclosures are not necessarily reflected in the agreement;</w:t>
      </w: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apply standards of materiality in a way that is different from what may be viewed as material to you or other investors; and</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made only as of the date of the applicable agreement or such other date or dates as may be specified in the agreement and are subject to more recent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these representations and warranties may not describe the actual state of affairs as of the date they were made or at any other time.</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632" w:right="3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18"/>
          </w:tcPr>
          <w:p>
            <w:pPr>
              <w:ind w:left="44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2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Incorporated by Reference or</w:t>
            </w:r>
          </w:p>
        </w:tc>
        <w:tc>
          <w:tcPr>
            <w:tcW w:w="0" w:type="dxa"/>
            <w:vAlign w:val="bottom"/>
          </w:tcPr>
          <w:p>
            <w:pPr>
              <w:spacing w:after="0"/>
              <w:rPr>
                <w:sz w:val="1"/>
                <w:szCs w:val="1"/>
                <w:color w:val="auto"/>
              </w:rPr>
            </w:pPr>
          </w:p>
        </w:tc>
      </w:tr>
      <w:tr>
        <w:trPr>
          <w:trHeight w:val="191"/>
        </w:trPr>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5"/>
            <w:vMerge w:val="continue"/>
          </w:tcPr>
          <w:p>
            <w:pPr>
              <w:spacing w:after="0"/>
              <w:rPr>
                <w:sz w:val="16"/>
                <w:szCs w:val="16"/>
                <w:color w:val="auto"/>
              </w:rPr>
            </w:pPr>
          </w:p>
        </w:tc>
        <w:tc>
          <w:tcPr>
            <w:tcW w:w="37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Filed/Furnished Herewith</w:t>
            </w:r>
          </w:p>
        </w:tc>
        <w:tc>
          <w:tcPr>
            <w:tcW w:w="0" w:type="dxa"/>
            <w:vAlign w:val="bottom"/>
          </w:tcPr>
          <w:p>
            <w:pPr>
              <w:spacing w:after="0"/>
              <w:rPr>
                <w:sz w:val="1"/>
                <w:szCs w:val="1"/>
                <w:color w:val="auto"/>
              </w:rPr>
            </w:pPr>
          </w:p>
        </w:tc>
      </w:tr>
      <w:tr>
        <w:trPr>
          <w:trHeight w:val="130"/>
        </w:trPr>
        <w:tc>
          <w:tcPr>
            <w:tcW w:w="11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top w:val="single" w:sz="8" w:color="CCEEFF"/>
            </w:tcBorders>
            <w:shd w:val="clear" w:color="auto" w:fill="CCEEFF"/>
          </w:tcPr>
          <w:p>
            <w:pPr>
              <w:spacing w:after="0"/>
              <w:rPr>
                <w:sz w:val="11"/>
                <w:szCs w:val="11"/>
                <w:color w:val="auto"/>
              </w:rPr>
            </w:pPr>
          </w:p>
        </w:tc>
        <w:tc>
          <w:tcPr>
            <w:tcW w:w="6200" w:type="dxa"/>
            <w:vAlign w:val="bottom"/>
            <w:tcBorders>
              <w:top w:val="single" w:sz="8" w:color="auto"/>
            </w:tcBorders>
            <w:gridSpan w:val="28"/>
            <w:shd w:val="clear" w:color="auto" w:fill="CCEEFF"/>
          </w:tcPr>
          <w:p>
            <w:pPr>
              <w:spacing w:after="0" w:line="12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Restated Certificate of Incorporation of the Company.</w:t>
              </w:r>
            </w:hyperlink>
          </w:p>
        </w:tc>
        <w:tc>
          <w:tcPr>
            <w:tcW w:w="100" w:type="dxa"/>
            <w:vAlign w:val="bottom"/>
            <w:tcBorders>
              <w:top w:val="single" w:sz="8" w:color="CCEEFF"/>
            </w:tcBorders>
            <w:shd w:val="clear" w:color="auto" w:fill="CCEEFF"/>
          </w:tcPr>
          <w:p>
            <w:pPr>
              <w:spacing w:after="0"/>
              <w:rPr>
                <w:sz w:val="11"/>
                <w:szCs w:val="11"/>
                <w:color w:val="auto"/>
              </w:rPr>
            </w:pPr>
          </w:p>
        </w:tc>
        <w:tc>
          <w:tcPr>
            <w:tcW w:w="37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Exhibit 3.1 to the Company’s Quarterly Report on Form 10-Q for</w:t>
            </w:r>
          </w:p>
        </w:tc>
        <w:tc>
          <w:tcPr>
            <w:tcW w:w="0" w:type="dxa"/>
            <w:vAlign w:val="bottom"/>
          </w:tcPr>
          <w:p>
            <w:pPr>
              <w:spacing w:after="0"/>
              <w:rPr>
                <w:sz w:val="1"/>
                <w:szCs w:val="1"/>
                <w:color w:val="auto"/>
              </w:rPr>
            </w:pPr>
          </w:p>
        </w:tc>
      </w:tr>
      <w:tr>
        <w:trPr>
          <w:trHeight w:val="170"/>
        </w:trPr>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120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74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the quarter ended July 2,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49"/>
        </w:trPr>
        <w:tc>
          <w:tcPr>
            <w:tcW w:w="1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c>
          <w:tcPr>
            <w:tcW w:w="6300" w:type="dxa"/>
            <w:vAlign w:val="bottom"/>
            <w:gridSpan w:val="29"/>
          </w:tcPr>
          <w:p>
            <w:pPr>
              <w:spacing w:after="0" w:line="14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Certificate of Amendment to Restated Certificate of Incorporation of the Company.</w:t>
              </w:r>
            </w:hyperlink>
          </w:p>
        </w:tc>
        <w:tc>
          <w:tcPr>
            <w:tcW w:w="3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3.1 to the Company’s Current Report on Form 8-K filed</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 January 2, 2019 (File No. 0-9286).</w:t>
            </w: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2"/>
                <w:szCs w:val="12"/>
                <w:color w:val="auto"/>
              </w:rPr>
            </w:pPr>
          </w:p>
        </w:tc>
        <w:tc>
          <w:tcPr>
            <w:tcW w:w="6300" w:type="dxa"/>
            <w:vAlign w:val="bottom"/>
            <w:gridSpan w:val="29"/>
            <w:shd w:val="clear" w:color="auto" w:fill="CCEEFF"/>
          </w:tcPr>
          <w:p>
            <w:pPr>
              <w:spacing w:after="0" w:line="14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Amended and Restated By-laws of the Company.</w:t>
              </w:r>
            </w:hyperlink>
          </w:p>
        </w:tc>
        <w:tc>
          <w:tcPr>
            <w:tcW w:w="3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3.2 to the Company’s Current Report on Form 8-K filed</w:t>
            </w:r>
          </w:p>
        </w:tc>
        <w:tc>
          <w:tcPr>
            <w:tcW w:w="0" w:type="dxa"/>
            <w:vAlign w:val="bottom"/>
          </w:tcPr>
          <w:p>
            <w:pPr>
              <w:spacing w:after="0"/>
              <w:rPr>
                <w:sz w:val="1"/>
                <w:szCs w:val="1"/>
                <w:color w:val="auto"/>
              </w:rPr>
            </w:pPr>
          </w:p>
        </w:tc>
      </w:tr>
      <w:tr>
        <w:trPr>
          <w:trHeight w:val="160"/>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1200" w:type="dxa"/>
            <w:vAlign w:val="bottom"/>
            <w:tcBorders>
              <w:top w:val="single" w:sz="8" w:color="0000FF"/>
            </w:tcBorders>
            <w:shd w:val="clear" w:color="auto" w:fill="CCEEFF"/>
          </w:tcPr>
          <w:p>
            <w:pPr>
              <w:spacing w:after="0"/>
              <w:rPr>
                <w:sz w:val="13"/>
                <w:szCs w:val="13"/>
                <w:color w:val="auto"/>
              </w:rPr>
            </w:pPr>
          </w:p>
        </w:tc>
        <w:tc>
          <w:tcPr>
            <w:tcW w:w="76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 January 2, 2019 (File No. 0-9286).</w:t>
            </w: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6300" w:type="dxa"/>
            <w:vAlign w:val="bottom"/>
            <w:gridSpan w:val="29"/>
          </w:tcPr>
          <w:p>
            <w:pPr>
              <w:spacing w:after="0" w:line="138"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Description of Securities of the Company.</w:t>
              </w:r>
            </w:hyperlink>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4.1 to the Company’s Annual Report on Form 10-K for</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the fiscal year ended December 29, 2019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6300" w:type="dxa"/>
            <w:vAlign w:val="bottom"/>
            <w:gridSpan w:val="29"/>
            <w:shd w:val="clear" w:color="auto" w:fill="CCEEFF"/>
          </w:tcPr>
          <w:p>
            <w:pPr>
              <w:spacing w:after="0" w:line="138"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Specimen of Common Stock Certificate of the Company.</w:t>
              </w:r>
            </w:hyperlink>
          </w:p>
        </w:tc>
        <w:tc>
          <w:tcPr>
            <w:tcW w:w="37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4.1 to the Company’s Current Report on Form 8-K filed</w:t>
            </w:r>
          </w:p>
        </w:tc>
        <w:tc>
          <w:tcPr>
            <w:tcW w:w="0" w:type="dxa"/>
            <w:vAlign w:val="bottom"/>
          </w:tcPr>
          <w:p>
            <w:pPr>
              <w:spacing w:after="0"/>
              <w:rPr>
                <w:sz w:val="1"/>
                <w:szCs w:val="1"/>
                <w:color w:val="auto"/>
              </w:rPr>
            </w:pPr>
          </w:p>
        </w:tc>
      </w:tr>
      <w:tr>
        <w:trPr>
          <w:trHeight w:val="170"/>
        </w:trPr>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120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74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on February 19, 2019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2"/>
                <w:szCs w:val="12"/>
                <w:color w:val="auto"/>
              </w:rPr>
            </w:pPr>
          </w:p>
        </w:tc>
        <w:tc>
          <w:tcPr>
            <w:tcW w:w="6300" w:type="dxa"/>
            <w:vAlign w:val="bottom"/>
            <w:gridSpan w:val="29"/>
          </w:tcPr>
          <w:p>
            <w:pPr>
              <w:spacing w:after="0" w:line="138"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Supplemental Indenture, dated as of March 3, 1995, between the Company and The Bank of New York</w:t>
              </w:r>
            </w:hyperlink>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4.2 to the Company’s Annual Report on Form 10-K for</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40" w:type="dxa"/>
            <w:vAlign w:val="bottom"/>
            <w:tcBorders>
              <w:top w:val="single" w:sz="8" w:color="0000FF"/>
            </w:tcBorders>
            <w:gridSpan w:val="18"/>
          </w:tcPr>
          <w:p>
            <w:pPr>
              <w:spacing w:after="0" w:line="127"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Mellon Trust Company, N.A., as successor trustee.</w:t>
              </w:r>
            </w:hyperlink>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37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the fiscal year ended December 29, 2002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2"/>
                <w:szCs w:val="12"/>
                <w:color w:val="auto"/>
              </w:rPr>
            </w:pPr>
          </w:p>
        </w:tc>
        <w:tc>
          <w:tcPr>
            <w:tcW w:w="6300" w:type="dxa"/>
            <w:vAlign w:val="bottom"/>
            <w:gridSpan w:val="29"/>
            <w:shd w:val="clear" w:color="auto" w:fill="CCEEFF"/>
          </w:tcPr>
          <w:p>
            <w:pPr>
              <w:spacing w:after="0" w:line="138"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Second Supplemental Indenture, dated as of November 25, 2015, between the Company and The Bank of</w:t>
              </w:r>
            </w:hyperlink>
          </w:p>
        </w:tc>
        <w:tc>
          <w:tcPr>
            <w:tcW w:w="37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4.1 to the Company’s Current Report on Form 8-K filed</w:t>
            </w:r>
          </w:p>
        </w:tc>
        <w:tc>
          <w:tcPr>
            <w:tcW w:w="0" w:type="dxa"/>
            <w:vAlign w:val="bottom"/>
          </w:tcPr>
          <w:p>
            <w:pPr>
              <w:spacing w:after="0"/>
              <w:rPr>
                <w:sz w:val="1"/>
                <w:szCs w:val="1"/>
                <w:color w:val="auto"/>
              </w:rPr>
            </w:pPr>
          </w:p>
        </w:tc>
      </w:tr>
      <w:tr>
        <w:trPr>
          <w:trHeight w:val="150"/>
        </w:trPr>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920" w:type="dxa"/>
            <w:vAlign w:val="bottom"/>
            <w:tcBorders>
              <w:top w:val="single" w:sz="8" w:color="0000FF"/>
              <w:bottom w:val="single" w:sz="8" w:color="0000FF"/>
            </w:tcBorders>
            <w:gridSpan w:val="7"/>
            <w:shd w:val="clear" w:color="auto" w:fill="CCEEFF"/>
          </w:tcPr>
          <w:p>
            <w:pPr>
              <w:spacing w:after="0" w:line="127" w:lineRule="exact"/>
              <w:rPr>
                <w:rFonts w:ascii="Times New Roman" w:cs="Times New Roman" w:eastAsia="Times New Roman" w:hAnsi="Times New Roman"/>
                <w:sz w:val="14"/>
                <w:szCs w:val="14"/>
                <w:color w:val="0000FF"/>
                <w:w w:val="99"/>
              </w:rPr>
            </w:pPr>
            <w:hyperlink r:id="rId133">
              <w:r>
                <w:rPr>
                  <w:rFonts w:ascii="Times New Roman" w:cs="Times New Roman" w:eastAsia="Times New Roman" w:hAnsi="Times New Roman"/>
                  <w:sz w:val="14"/>
                  <w:szCs w:val="14"/>
                  <w:color w:val="0000FF"/>
                  <w:w w:val="99"/>
                </w:rPr>
                <w:t>New York Mellon Trust Company, N.A., as trustee.</w:t>
              </w:r>
            </w:hyperlink>
          </w:p>
        </w:tc>
        <w:tc>
          <w:tcPr>
            <w:tcW w:w="3060" w:type="dxa"/>
            <w:vAlign w:val="bottom"/>
            <w:tcBorders>
              <w:top w:val="single" w:sz="8" w:color="0000FF"/>
              <w:bottom w:val="single" w:sz="8" w:color="CCEEFF"/>
            </w:tcBorders>
            <w:gridSpan w:val="1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740" w:type="dxa"/>
            <w:vAlign w:val="bottom"/>
            <w:tcBorders>
              <w:top w:val="single" w:sz="8" w:color="CCEEFF"/>
              <w:bottom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on November 25, 2015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2"/>
                <w:szCs w:val="12"/>
                <w:color w:val="auto"/>
              </w:rPr>
            </w:pPr>
          </w:p>
        </w:tc>
        <w:tc>
          <w:tcPr>
            <w:tcW w:w="6300" w:type="dxa"/>
            <w:vAlign w:val="bottom"/>
            <w:gridSpan w:val="29"/>
          </w:tcPr>
          <w:p>
            <w:pPr>
              <w:spacing w:after="0" w:line="138"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Form of the Company’s 3.800% Senior Notes due 2025 (included in Exhibit 4.4 above).</w:t>
              </w:r>
            </w:hyperlink>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4.2 to the Company’s Current Report on Form 8-K filed</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on November 25, 2015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2"/>
                <w:szCs w:val="12"/>
                <w:color w:val="auto"/>
              </w:rPr>
            </w:pPr>
          </w:p>
        </w:tc>
        <w:tc>
          <w:tcPr>
            <w:tcW w:w="6300" w:type="dxa"/>
            <w:vAlign w:val="bottom"/>
            <w:gridSpan w:val="29"/>
            <w:shd w:val="clear" w:color="auto" w:fill="CCEEFF"/>
          </w:tcPr>
          <w:p>
            <w:pPr>
              <w:spacing w:after="0" w:line="14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Indenture, dated as of December 15, 2020, between the Company and U.S. Bank National Association, as</w:t>
              </w:r>
            </w:hyperlink>
          </w:p>
        </w:tc>
        <w:tc>
          <w:tcPr>
            <w:tcW w:w="3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4.4 to the Company’s Registration Statement on Form S-</w:t>
            </w:r>
          </w:p>
        </w:tc>
        <w:tc>
          <w:tcPr>
            <w:tcW w:w="0" w:type="dxa"/>
            <w:vAlign w:val="bottom"/>
          </w:tcPr>
          <w:p>
            <w:pPr>
              <w:spacing w:after="0"/>
              <w:rPr>
                <w:sz w:val="1"/>
                <w:szCs w:val="1"/>
                <w:color w:val="auto"/>
              </w:rPr>
            </w:pPr>
          </w:p>
        </w:tc>
      </w:tr>
      <w:tr>
        <w:trPr>
          <w:trHeight w:val="118"/>
        </w:trPr>
        <w:tc>
          <w:tcPr>
            <w:tcW w:w="1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20" w:type="dxa"/>
            <w:vAlign w:val="bottom"/>
            <w:tcBorders>
              <w:top w:val="single" w:sz="8" w:color="0000FF"/>
            </w:tcBorders>
            <w:gridSpan w:val="22"/>
            <w:shd w:val="clear" w:color="auto" w:fill="CCEEFF"/>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trustee.</w:t>
              </w:r>
            </w:hyperlink>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374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3 filed on December 15, 2020 (File No. 333-251358).</w:t>
            </w:r>
          </w:p>
        </w:tc>
        <w:tc>
          <w:tcPr>
            <w:tcW w:w="0" w:type="dxa"/>
            <w:vAlign w:val="bottom"/>
          </w:tcPr>
          <w:p>
            <w:pPr>
              <w:spacing w:after="0"/>
              <w:rPr>
                <w:sz w:val="1"/>
                <w:szCs w:val="1"/>
                <w:color w:val="auto"/>
              </w:rPr>
            </w:pPr>
          </w:p>
        </w:tc>
      </w:tr>
      <w:tr>
        <w:trPr>
          <w:trHeight w:val="22"/>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6300" w:type="dxa"/>
            <w:vAlign w:val="bottom"/>
            <w:gridSpan w:val="29"/>
          </w:tcPr>
          <w:p>
            <w:pPr>
              <w:spacing w:after="0" w:line="15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Credit Agreement, dated as of July 9, 2021, by and among the Company, Wells Fargo Bank, National</w:t>
              </w:r>
            </w:hyperlink>
          </w:p>
        </w:tc>
        <w:tc>
          <w:tcPr>
            <w:tcW w:w="37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40" w:type="dxa"/>
            <w:vAlign w:val="bottom"/>
            <w:tcBorders>
              <w:top w:val="single" w:sz="8" w:color="0000FF"/>
            </w:tcBorders>
            <w:gridSpan w:val="16"/>
          </w:tcPr>
          <w:p>
            <w:pPr>
              <w:spacing w:after="0" w:line="13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Association, as administrative agent, swingline lender and issuing lender, and the other lenders party</w:t>
              </w:r>
            </w:hyperlink>
          </w:p>
        </w:tc>
        <w:tc>
          <w:tcPr>
            <w:tcW w:w="560" w:type="dxa"/>
            <w:vAlign w:val="bottom"/>
            <w:gridSpan w:val="13"/>
          </w:tcPr>
          <w:p>
            <w:pPr>
              <w:spacing w:after="0" w:line="13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thereto.</w:t>
              </w:r>
            </w:hyperlink>
          </w:p>
        </w:tc>
        <w:tc>
          <w:tcPr>
            <w:tcW w:w="3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on July 13, 2021 (File No. 0-9286).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3"/>
                <w:szCs w:val="13"/>
                <w:color w:val="auto"/>
              </w:rPr>
            </w:pPr>
          </w:p>
        </w:tc>
        <w:tc>
          <w:tcPr>
            <w:tcW w:w="6300" w:type="dxa"/>
            <w:vAlign w:val="bottom"/>
            <w:gridSpan w:val="2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Amendment No. 1 to Credit Agreement, dated as of February 1, 2023, by and among the Company, Wells</w:t>
            </w:r>
          </w:p>
        </w:tc>
        <w:tc>
          <w:tcPr>
            <w:tcW w:w="37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39"/>
        </w:trPr>
        <w:tc>
          <w:tcPr>
            <w:tcW w:w="1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0" w:type="dxa"/>
            <w:vAlign w:val="bottom"/>
            <w:tcBorders>
              <w:top w:val="single" w:sz="8" w:color="0000FF"/>
            </w:tcBorders>
            <w:gridSpan w:val="21"/>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Fargo Bank, National Association, as administrative agent, and the other lenders party thereto</w:t>
            </w:r>
            <w:r>
              <w:rPr>
                <w:rFonts w:ascii="Times New Roman" w:cs="Times New Roman" w:eastAsia="Times New Roman" w:hAnsi="Times New Roman"/>
                <w:sz w:val="14"/>
                <w:szCs w:val="14"/>
                <w:color w:val="000000"/>
              </w:rPr>
              <w:t>.</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3"/>
            <w:shd w:val="clear" w:color="auto" w:fill="CCEEFF"/>
          </w:tcPr>
          <w:p>
            <w:pPr>
              <w:spacing w:after="0"/>
              <w:rPr>
                <w:sz w:val="12"/>
                <w:szCs w:val="12"/>
                <w:color w:val="auto"/>
              </w:rPr>
            </w:pPr>
          </w:p>
        </w:tc>
        <w:tc>
          <w:tcPr>
            <w:tcW w:w="37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7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3"/>
                <w:szCs w:val="13"/>
                <w:color w:val="auto"/>
              </w:rPr>
            </w:pPr>
          </w:p>
        </w:tc>
        <w:tc>
          <w:tcPr>
            <w:tcW w:w="6300" w:type="dxa"/>
            <w:vAlign w:val="bottom"/>
            <w:gridSpan w:val="29"/>
          </w:tcPr>
          <w:p>
            <w:pPr>
              <w:spacing w:after="0" w:line="15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Term Loan Agreement, dated as of July 9, 2021, by and among the Company, Wells Fargo Bank, National</w:t>
              </w:r>
            </w:hyperlink>
          </w:p>
        </w:tc>
        <w:tc>
          <w:tcPr>
            <w:tcW w:w="37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Exhibit 10.2 to the Company’s Current Report on Form 8-K filed</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40" w:type="dxa"/>
            <w:vAlign w:val="bottom"/>
            <w:tcBorders>
              <w:top w:val="single" w:sz="8" w:color="0000FF"/>
            </w:tcBorders>
            <w:gridSpan w:val="23"/>
          </w:tcPr>
          <w:p>
            <w:pPr>
              <w:spacing w:after="0" w:line="13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Association, as administrative agent, and the other lenders party thereto.</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3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on July 13, 2021 (File No. 0-9286).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2"/>
                <w:szCs w:val="12"/>
                <w:color w:val="auto"/>
              </w:rPr>
            </w:pPr>
          </w:p>
        </w:tc>
        <w:tc>
          <w:tcPr>
            <w:tcW w:w="6300" w:type="dxa"/>
            <w:vAlign w:val="bottom"/>
            <w:gridSpan w:val="29"/>
            <w:shd w:val="clear" w:color="auto" w:fill="CCEEFF"/>
          </w:tcPr>
          <w:p>
            <w:pPr>
              <w:spacing w:after="0" w:line="138"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Note Purchase and Private Shelf Agreement, dated June 10, 2016, by and among the Company, PGIM, Inc.</w:t>
              </w:r>
            </w:hyperlink>
          </w:p>
        </w:tc>
        <w:tc>
          <w:tcPr>
            <w:tcW w:w="37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127"/>
        </w:trPr>
        <w:tc>
          <w:tcPr>
            <w:tcW w:w="1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80" w:type="dxa"/>
            <w:vAlign w:val="bottom"/>
            <w:tcBorders>
              <w:top w:val="single" w:sz="8" w:color="0000FF"/>
            </w:tcBorders>
            <w:gridSpan w:val="24"/>
            <w:shd w:val="clear" w:color="auto" w:fill="CCEEFF"/>
          </w:tcPr>
          <w:p>
            <w:pPr>
              <w:spacing w:after="0" w:line="127"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and the other parties thereto.</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gridSpan w:val="3"/>
            <w:shd w:val="clear" w:color="auto" w:fill="CCEEFF"/>
          </w:tcPr>
          <w:p>
            <w:pPr>
              <w:spacing w:after="0"/>
              <w:rPr>
                <w:sz w:val="11"/>
                <w:szCs w:val="11"/>
                <w:color w:val="auto"/>
              </w:rPr>
            </w:pPr>
          </w:p>
        </w:tc>
        <w:tc>
          <w:tcPr>
            <w:tcW w:w="3740" w:type="dxa"/>
            <w:vAlign w:val="bottom"/>
            <w:tcBorders>
              <w:top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on January 20,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22"/>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6300" w:type="dxa"/>
            <w:vAlign w:val="bottom"/>
            <w:gridSpan w:val="29"/>
          </w:tcPr>
          <w:p>
            <w:pPr>
              <w:spacing w:after="0" w:line="138"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First Amendment to Note Purchase and Private Shelf Agreement, dated July 20, 2018, by and among the</w:t>
              </w:r>
            </w:hyperlink>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940" w:type="dxa"/>
            <w:vAlign w:val="bottom"/>
            <w:tcBorders>
              <w:top w:val="single" w:sz="8" w:color="0000FF"/>
            </w:tcBorders>
            <w:gridSpan w:val="19"/>
          </w:tcPr>
          <w:p>
            <w:pPr>
              <w:spacing w:after="0" w:line="127"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Company, PGIM, Inc. and the other parties thereto.</w:t>
              </w:r>
            </w:hyperlink>
          </w:p>
        </w:tc>
        <w:tc>
          <w:tcPr>
            <w:tcW w:w="16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37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on July 25, 2018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2"/>
                <w:szCs w:val="12"/>
                <w:color w:val="auto"/>
              </w:rPr>
            </w:pPr>
          </w:p>
        </w:tc>
        <w:tc>
          <w:tcPr>
            <w:tcW w:w="6300" w:type="dxa"/>
            <w:vAlign w:val="bottom"/>
            <w:gridSpan w:val="29"/>
            <w:shd w:val="clear" w:color="auto" w:fill="CCEEFF"/>
          </w:tcPr>
          <w:p>
            <w:pPr>
              <w:spacing w:after="0" w:line="138"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Note Purchase and Private Shelf Agreement, dated March 6, 2018, by and among the Company, NYL</w:t>
              </w:r>
            </w:hyperlink>
          </w:p>
        </w:tc>
        <w:tc>
          <w:tcPr>
            <w:tcW w:w="37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150"/>
        </w:trPr>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80" w:type="dxa"/>
            <w:vAlign w:val="bottom"/>
            <w:tcBorders>
              <w:top w:val="single" w:sz="8" w:color="0000FF"/>
              <w:bottom w:val="single" w:sz="8" w:color="0000FF"/>
            </w:tcBorders>
            <w:gridSpan w:val="4"/>
            <w:shd w:val="clear" w:color="auto" w:fill="CCEEFF"/>
          </w:tcPr>
          <w:p>
            <w:pPr>
              <w:spacing w:after="0" w:line="127"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Investors LLC and the other parties thereto.</w:t>
              </w:r>
            </w:hyperlink>
          </w:p>
        </w:tc>
        <w:tc>
          <w:tcPr>
            <w:tcW w:w="3280" w:type="dxa"/>
            <w:vAlign w:val="bottom"/>
            <w:tcBorders>
              <w:top w:val="single" w:sz="8" w:color="0000FF"/>
              <w:bottom w:val="single" w:sz="8" w:color="CCEEFF"/>
            </w:tcBorders>
            <w:gridSpan w:val="13"/>
            <w:shd w:val="clear" w:color="auto" w:fill="CCEEFF"/>
          </w:tcPr>
          <w:p>
            <w:pPr>
              <w:spacing w:after="0"/>
              <w:rPr>
                <w:sz w:val="13"/>
                <w:szCs w:val="13"/>
                <w:color w:val="auto"/>
              </w:rPr>
            </w:pPr>
          </w:p>
        </w:tc>
        <w:tc>
          <w:tcPr>
            <w:tcW w:w="340" w:type="dxa"/>
            <w:vAlign w:val="bottom"/>
            <w:tcBorders>
              <w:top w:val="single" w:sz="8" w:color="CCEEFF"/>
              <w:bottom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3740" w:type="dxa"/>
            <w:vAlign w:val="bottom"/>
            <w:tcBorders>
              <w:top w:val="single" w:sz="8" w:color="CCEEFF"/>
              <w:bottom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on March 14, 2018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2"/>
                <w:szCs w:val="12"/>
                <w:color w:val="auto"/>
              </w:rPr>
            </w:pPr>
          </w:p>
        </w:tc>
        <w:tc>
          <w:tcPr>
            <w:tcW w:w="6300" w:type="dxa"/>
            <w:vAlign w:val="bottom"/>
            <w:gridSpan w:val="29"/>
          </w:tcPr>
          <w:p>
            <w:pPr>
              <w:spacing w:after="0" w:line="138"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First Amendment to Note Purchase and Private Shelf Agreement, dated July 20, 2018, by and among the</w:t>
              </w:r>
            </w:hyperlink>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10.2 to the Company’s Current Report on Form 8-K filed</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940" w:type="dxa"/>
            <w:vAlign w:val="bottom"/>
            <w:tcBorders>
              <w:top w:val="single" w:sz="8" w:color="0000FF"/>
            </w:tcBorders>
            <w:gridSpan w:val="19"/>
          </w:tcPr>
          <w:p>
            <w:pPr>
              <w:spacing w:after="0" w:line="127"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Company, NYL Investors LLC and the other parties thereto.</w:t>
              </w:r>
            </w:hyperlink>
          </w:p>
        </w:tc>
        <w:tc>
          <w:tcPr>
            <w:tcW w:w="16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37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on July 25, 2018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2"/>
                <w:szCs w:val="12"/>
                <w:color w:val="auto"/>
              </w:rPr>
            </w:pPr>
          </w:p>
        </w:tc>
        <w:tc>
          <w:tcPr>
            <w:tcW w:w="6300" w:type="dxa"/>
            <w:vAlign w:val="bottom"/>
            <w:gridSpan w:val="29"/>
            <w:shd w:val="clear" w:color="auto" w:fill="CCEEFF"/>
          </w:tcPr>
          <w:p>
            <w:pPr>
              <w:spacing w:after="0" w:line="138"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Note Purchase and Private Shelf Agreement, dated January 23, 2019, by and among the Company, MetLife</w:t>
              </w:r>
            </w:hyperlink>
          </w:p>
        </w:tc>
        <w:tc>
          <w:tcPr>
            <w:tcW w:w="37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150"/>
        </w:trPr>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180" w:type="dxa"/>
            <w:vAlign w:val="bottom"/>
            <w:tcBorders>
              <w:top w:val="single" w:sz="8" w:color="0000FF"/>
              <w:bottom w:val="single" w:sz="8" w:color="0000FF"/>
            </w:tcBorders>
            <w:gridSpan w:val="9"/>
            <w:shd w:val="clear" w:color="auto" w:fill="CCEEFF"/>
          </w:tcPr>
          <w:p>
            <w:pPr>
              <w:spacing w:after="0" w:line="127"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Investment Advisors, LLC and the other parties thereto.</w:t>
              </w:r>
            </w:hyperlink>
          </w:p>
        </w:tc>
        <w:tc>
          <w:tcPr>
            <w:tcW w:w="2920" w:type="dxa"/>
            <w:vAlign w:val="bottom"/>
            <w:tcBorders>
              <w:top w:val="single" w:sz="8" w:color="0000FF"/>
              <w:bottom w:val="single" w:sz="8" w:color="CCEEFF"/>
            </w:tcBorders>
            <w:gridSpan w:val="1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3740" w:type="dxa"/>
            <w:vAlign w:val="bottom"/>
            <w:tcBorders>
              <w:top w:val="single" w:sz="8" w:color="CCEEFF"/>
              <w:bottom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on February 5, 2019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2"/>
                <w:szCs w:val="12"/>
                <w:color w:val="auto"/>
              </w:rPr>
            </w:pPr>
          </w:p>
        </w:tc>
        <w:tc>
          <w:tcPr>
            <w:tcW w:w="6300" w:type="dxa"/>
            <w:vAlign w:val="bottom"/>
            <w:gridSpan w:val="29"/>
          </w:tcPr>
          <w:p>
            <w:pPr>
              <w:spacing w:after="0" w:line="138"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Incidence Agreement, dated February 5, 2019, by and between the Company and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w:t>
              </w:r>
            </w:hyperlink>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tcBorders>
              <w:top w:val="single" w:sz="8" w:color="0000FF"/>
            </w:tcBorders>
            <w:gridSpan w:val="13"/>
            <w:vMerge w:val="restart"/>
          </w:tcPr>
          <w:p>
            <w:pPr>
              <w:ind w:left="4340"/>
              <w:spacing w:after="0"/>
              <w:rPr>
                <w:sz w:val="20"/>
                <w:szCs w:val="20"/>
                <w:color w:val="auto"/>
              </w:rPr>
            </w:pPr>
            <w:r>
              <w:rPr>
                <w:rFonts w:ascii="Times New Roman" w:cs="Times New Roman" w:eastAsia="Times New Roman" w:hAnsi="Times New Roman"/>
                <w:sz w:val="14"/>
                <w:szCs w:val="14"/>
                <w:color w:val="auto"/>
              </w:rPr>
              <w:t>81</w:t>
            </w:r>
          </w:p>
        </w:tc>
        <w:tc>
          <w:tcPr>
            <w:tcW w:w="2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on February 5, 2019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553"/>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3"/>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7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300" w:type="dxa"/>
            <w:vAlign w:val="bottom"/>
            <w:gridSpan w:val="4"/>
            <w:vMerge w:val="restart"/>
          </w:tcPr>
          <w:p>
            <w:pPr>
              <w:ind w:left="2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or</w:t>
            </w:r>
          </w:p>
        </w:tc>
        <w:tc>
          <w:tcPr>
            <w:tcW w:w="0" w:type="dxa"/>
            <w:vAlign w:val="bottom"/>
          </w:tcPr>
          <w:p>
            <w:pPr>
              <w:spacing w:after="0"/>
              <w:rPr>
                <w:sz w:val="1"/>
                <w:szCs w:val="1"/>
                <w:color w:val="auto"/>
              </w:rPr>
            </w:pPr>
          </w:p>
        </w:tc>
      </w:tr>
      <w:tr>
        <w:trPr>
          <w:trHeight w:val="191"/>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6300" w:type="dxa"/>
            <w:vAlign w:val="bottom"/>
            <w:gridSpan w:val="4"/>
            <w:vMerge w:val="continue"/>
          </w:tcPr>
          <w:p>
            <w:pPr>
              <w:spacing w:after="0"/>
              <w:rPr>
                <w:sz w:val="16"/>
                <w:szCs w:val="16"/>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 Herewith</w:t>
            </w:r>
          </w:p>
        </w:tc>
        <w:tc>
          <w:tcPr>
            <w:tcW w:w="0" w:type="dxa"/>
            <w:vAlign w:val="bottom"/>
          </w:tcPr>
          <w:p>
            <w:pPr>
              <w:spacing w:after="0"/>
              <w:rPr>
                <w:sz w:val="1"/>
                <w:szCs w:val="1"/>
                <w:color w:val="auto"/>
              </w:rPr>
            </w:pPr>
          </w:p>
        </w:tc>
      </w:tr>
      <w:tr>
        <w:trPr>
          <w:trHeight w:val="129"/>
        </w:trPr>
        <w:tc>
          <w:tcPr>
            <w:tcW w:w="1140" w:type="dxa"/>
            <w:vAlign w:val="bottom"/>
            <w:tcBorders>
              <w:top w:val="single" w:sz="8" w:color="auto"/>
            </w:tcBorders>
            <w:shd w:val="clear" w:color="auto" w:fill="CCEEFF"/>
          </w:tcPr>
          <w:p>
            <w:pPr>
              <w:jc w:val="right"/>
              <w:ind w:right="589"/>
              <w:spacing w:after="0" w:line="129" w:lineRule="exact"/>
              <w:rPr>
                <w:sz w:val="20"/>
                <w:szCs w:val="20"/>
                <w:color w:val="auto"/>
              </w:rPr>
            </w:pPr>
            <w:r>
              <w:rPr>
                <w:rFonts w:ascii="Times New Roman" w:cs="Times New Roman" w:eastAsia="Times New Roman" w:hAnsi="Times New Roman"/>
                <w:sz w:val="14"/>
                <w:szCs w:val="14"/>
                <w:color w:val="auto"/>
              </w:rPr>
              <w:t>10.10**</w:t>
            </w:r>
          </w:p>
        </w:tc>
        <w:tc>
          <w:tcPr>
            <w:tcW w:w="100" w:type="dxa"/>
            <w:vAlign w:val="bottom"/>
            <w:tcBorders>
              <w:top w:val="single" w:sz="8" w:color="CCEEFF"/>
            </w:tcBorders>
            <w:shd w:val="clear" w:color="auto" w:fill="CCEEFF"/>
          </w:tcPr>
          <w:p>
            <w:pPr>
              <w:spacing w:after="0"/>
              <w:rPr>
                <w:sz w:val="11"/>
                <w:szCs w:val="11"/>
                <w:color w:val="auto"/>
              </w:rPr>
            </w:pPr>
          </w:p>
        </w:tc>
        <w:tc>
          <w:tcPr>
            <w:tcW w:w="6200" w:type="dxa"/>
            <w:vAlign w:val="bottom"/>
            <w:tcBorders>
              <w:top w:val="single" w:sz="8" w:color="auto"/>
            </w:tcBorders>
            <w:gridSpan w:val="3"/>
            <w:shd w:val="clear" w:color="auto" w:fill="CCEEFF"/>
          </w:tcPr>
          <w:p>
            <w:pPr>
              <w:spacing w:after="0" w:line="12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National Product Supply Governance Agreement, dated October 30, 2015, by and between the Company,</w:t>
              </w:r>
            </w:hyperlink>
          </w:p>
        </w:tc>
        <w:tc>
          <w:tcPr>
            <w:tcW w:w="100" w:type="dxa"/>
            <w:vAlign w:val="bottom"/>
            <w:tcBorders>
              <w:top w:val="single" w:sz="8" w:color="CCEEFF"/>
            </w:tcBorders>
            <w:shd w:val="clear" w:color="auto" w:fill="CCEEFF"/>
          </w:tcPr>
          <w:p>
            <w:pPr>
              <w:spacing w:after="0"/>
              <w:rPr>
                <w:sz w:val="11"/>
                <w:szCs w:val="11"/>
                <w:color w:val="auto"/>
              </w:rPr>
            </w:pPr>
          </w:p>
        </w:tc>
        <w:tc>
          <w:tcPr>
            <w:tcW w:w="374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21"/>
        </w:trPr>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540" w:type="dxa"/>
            <w:vAlign w:val="bottom"/>
            <w:tcBorders>
              <w:right w:val="single" w:sz="8" w:color="CCEEFF"/>
            </w:tcBorders>
            <w:shd w:val="clear" w:color="auto" w:fill="0000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3740" w:type="dxa"/>
            <w:vAlign w:val="bottom"/>
            <w:vMerge w:val="restart"/>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on November 2, 2015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line="20" w:lineRule="exact"/>
              <w:rPr>
                <w:sz w:val="1"/>
                <w:szCs w:val="1"/>
                <w:color w:val="auto"/>
              </w:rPr>
            </w:pPr>
          </w:p>
        </w:tc>
      </w:tr>
      <w:tr>
        <w:trPr>
          <w:trHeight w:val="127"/>
        </w:trPr>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300" w:type="dxa"/>
            <w:vAlign w:val="bottom"/>
            <w:gridSpan w:val="4"/>
            <w:shd w:val="clear" w:color="auto" w:fill="CCEEFF"/>
          </w:tcPr>
          <w:p>
            <w:pPr>
              <w:spacing w:after="0" w:line="127"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 Company United, Inc.,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Refreshments USA, Inc.</w:t>
              </w:r>
            </w:hyperlink>
          </w:p>
        </w:tc>
        <w:tc>
          <w:tcPr>
            <w:tcW w:w="3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20" w:type="dxa"/>
            <w:vAlign w:val="bottom"/>
            <w:tcBorders>
              <w:top w:val="single" w:sz="8" w:color="0000FF"/>
              <w:right w:val="single" w:sz="8" w:color="CCEEFF"/>
            </w:tcBorders>
            <w:gridSpan w:val="2"/>
            <w:shd w:val="clear" w:color="auto" w:fill="CCEEFF"/>
          </w:tcPr>
          <w:p>
            <w:pPr>
              <w:spacing w:after="0" w:line="12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and Swire Pacific Holdings Inc. d/b/a Swire Coca-Cola USA.</w:t>
              </w:r>
            </w:hyperlink>
          </w:p>
        </w:tc>
        <w:tc>
          <w:tcPr>
            <w:tcW w:w="280" w:type="dxa"/>
            <w:vAlign w:val="bottom"/>
            <w:tcBorders>
              <w:top w:val="single" w:sz="8" w:color="CCEEFF"/>
            </w:tcBorders>
            <w:gridSpan w:val="2"/>
            <w:shd w:val="clear" w:color="auto" w:fill="CCEEFF"/>
          </w:tcPr>
          <w:p>
            <w:pPr>
              <w:spacing w:after="0"/>
              <w:rPr>
                <w:sz w:val="11"/>
                <w:szCs w:val="11"/>
                <w:color w:val="auto"/>
              </w:rPr>
            </w:pPr>
          </w:p>
        </w:tc>
        <w:tc>
          <w:tcPr>
            <w:tcW w:w="37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80" w:type="dxa"/>
            <w:vAlign w:val="bottom"/>
            <w:shd w:val="clear" w:color="auto" w:fill="0000FF"/>
          </w:tcPr>
          <w:p>
            <w:pPr>
              <w:spacing w:after="0"/>
              <w:rPr>
                <w:sz w:val="2"/>
                <w:szCs w:val="2"/>
                <w:color w:val="auto"/>
              </w:rPr>
            </w:pPr>
          </w:p>
        </w:tc>
        <w:tc>
          <w:tcPr>
            <w:tcW w:w="25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647" w:right="319" w:bottom="1440" w:gutter="0" w:footer="0" w:header="0"/>
        </w:sectPr>
      </w:pPr>
    </w:p>
    <w:tbl>
      <w:tblPr>
        <w:tblLayout w:type="fixed"/>
        <w:tblInd w:w="20" w:type="dxa"/>
        <w:tblCellMar>
          <w:top w:w="0" w:type="dxa"/>
          <w:left w:w="0" w:type="dxa"/>
          <w:bottom w:w="0" w:type="dxa"/>
          <w:right w:w="0" w:type="dxa"/>
        </w:tblCellMar>
      </w:tblPr>
      <w:tr>
        <w:trPr>
          <w:trHeight w:val="149"/>
        </w:trPr>
        <w:tc>
          <w:tcPr>
            <w:tcW w:w="1220" w:type="dxa"/>
            <w:vAlign w:val="bottom"/>
          </w:tcPr>
          <w:p>
            <w:pPr>
              <w:jc w:val="right"/>
              <w:ind w:right="689"/>
              <w:spacing w:after="0" w:line="149" w:lineRule="exact"/>
              <w:rPr>
                <w:sz w:val="20"/>
                <w:szCs w:val="20"/>
                <w:color w:val="auto"/>
              </w:rPr>
            </w:pPr>
            <w:r>
              <w:rPr>
                <w:rFonts w:ascii="Times New Roman" w:cs="Times New Roman" w:eastAsia="Times New Roman" w:hAnsi="Times New Roman"/>
                <w:sz w:val="14"/>
                <w:szCs w:val="14"/>
                <w:color w:val="auto"/>
                <w:w w:val="96"/>
              </w:rPr>
              <w:t>10.11**</w:t>
            </w:r>
          </w:p>
        </w:tc>
        <w:tc>
          <w:tcPr>
            <w:tcW w:w="5820" w:type="dxa"/>
            <w:vAlign w:val="bottom"/>
            <w:tcBorders>
              <w:bottom w:val="single" w:sz="8" w:color="0000FF"/>
            </w:tcBorders>
          </w:tcPr>
          <w:p>
            <w:pPr>
              <w:spacing w:after="0" w:line="14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First Amendment to National Product Supply Governance Agreement, dated October 26, 2018, by and</w:t>
              </w:r>
            </w:hyperlink>
          </w:p>
        </w:tc>
        <w:tc>
          <w:tcPr>
            <w:tcW w:w="260" w:type="dxa"/>
            <w:vAlign w:val="bottom"/>
          </w:tcPr>
          <w:p>
            <w:pPr>
              <w:spacing w:after="0"/>
              <w:rPr>
                <w:sz w:val="12"/>
                <w:szCs w:val="12"/>
                <w:color w:val="auto"/>
              </w:rPr>
            </w:pPr>
          </w:p>
        </w:tc>
      </w:tr>
      <w:tr>
        <w:trPr>
          <w:trHeight w:val="125"/>
        </w:trPr>
        <w:tc>
          <w:tcPr>
            <w:tcW w:w="1220" w:type="dxa"/>
            <w:vAlign w:val="bottom"/>
          </w:tcPr>
          <w:p>
            <w:pPr>
              <w:spacing w:after="0"/>
              <w:rPr>
                <w:sz w:val="10"/>
                <w:szCs w:val="10"/>
                <w:color w:val="auto"/>
              </w:rPr>
            </w:pPr>
          </w:p>
        </w:tc>
        <w:tc>
          <w:tcPr>
            <w:tcW w:w="6080" w:type="dxa"/>
            <w:vAlign w:val="bottom"/>
            <w:gridSpan w:val="2"/>
          </w:tcPr>
          <w:p>
            <w:pPr>
              <w:spacing w:after="0" w:line="125" w:lineRule="exact"/>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between the Company, The Coca</w:t>
              </w:r>
              <w:r>
                <w:rPr>
                  <w:rFonts w:ascii="MS PGothic" w:cs="MS PGothic" w:eastAsia="MS PGothic" w:hAnsi="MS PGothic"/>
                  <w:sz w:val="14"/>
                  <w:szCs w:val="14"/>
                  <w:u w:val="single" w:color="auto"/>
                  <w:color w:val="0000FF"/>
                </w:rPr>
                <w:t>‑</w:t>
              </w:r>
              <w:r>
                <w:rPr>
                  <w:rFonts w:ascii="Times New Roman" w:cs="Times New Roman" w:eastAsia="Times New Roman" w:hAnsi="Times New Roman"/>
                  <w:sz w:val="14"/>
                  <w:szCs w:val="14"/>
                  <w:u w:val="single" w:color="auto"/>
                  <w:color w:val="0000FF"/>
                </w:rPr>
                <w:t>Cola Company, Coca</w:t>
              </w:r>
              <w:r>
                <w:rPr>
                  <w:rFonts w:ascii="MS PGothic" w:cs="MS PGothic" w:eastAsia="MS PGothic" w:hAnsi="MS PGothic"/>
                  <w:sz w:val="14"/>
                  <w:szCs w:val="14"/>
                  <w:u w:val="single" w:color="auto"/>
                  <w:color w:val="0000FF"/>
                </w:rPr>
                <w:t>‑</w:t>
              </w:r>
              <w:r>
                <w:rPr>
                  <w:rFonts w:ascii="Times New Roman" w:cs="Times New Roman" w:eastAsia="Times New Roman" w:hAnsi="Times New Roman"/>
                  <w:sz w:val="14"/>
                  <w:szCs w:val="14"/>
                  <w:u w:val="single" w:color="auto"/>
                  <w:color w:val="0000FF"/>
                </w:rPr>
                <w:t>Cola Bottling Company United, Inc., Swire Pacific</w:t>
              </w:r>
            </w:hyperlink>
          </w:p>
        </w:tc>
      </w:tr>
    </w:tbl>
    <w:p>
      <w:pPr>
        <w:ind w:left="1240"/>
        <w:spacing w:after="0" w:line="161" w:lineRule="exact"/>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Holdings Inc. d/b/a Swire Coca</w:t>
        </w:r>
        <w:r>
          <w:rPr>
            <w:rFonts w:ascii="MS PGothic" w:cs="MS PGothic" w:eastAsia="MS PGothic" w:hAnsi="MS PGothic"/>
            <w:sz w:val="14"/>
            <w:szCs w:val="14"/>
            <w:u w:val="single" w:color="auto"/>
            <w:color w:val="0000FF"/>
          </w:rPr>
          <w:t>‑</w:t>
        </w:r>
        <w:r>
          <w:rPr>
            <w:rFonts w:ascii="Times New Roman" w:cs="Times New Roman" w:eastAsia="Times New Roman" w:hAnsi="Times New Roman"/>
            <w:sz w:val="14"/>
            <w:szCs w:val="14"/>
            <w:u w:val="single" w:color="auto"/>
            <w:color w:val="0000FF"/>
          </w:rPr>
          <w:t>Cola USA and the other parties thereto.</w:t>
        </w:r>
      </w:hyperlink>
    </w:p>
    <w:p>
      <w:pPr>
        <w:spacing w:after="0" w:line="20" w:lineRule="exact"/>
        <w:rPr>
          <w:sz w:val="20"/>
          <w:szCs w:val="20"/>
          <w:color w:val="auto"/>
        </w:rPr>
      </w:pPr>
      <w:r>
        <w:rPr>
          <w:sz w:val="20"/>
          <w:szCs w:val="20"/>
          <w:color w:val="auto"/>
        </w:rPr>
        <w:br w:type="column"/>
      </w:r>
    </w:p>
    <w:p>
      <w:pPr>
        <w:ind w:right="140"/>
        <w:spacing w:after="0" w:line="146" w:lineRule="exact"/>
        <w:rPr>
          <w:sz w:val="20"/>
          <w:szCs w:val="20"/>
          <w:color w:val="auto"/>
        </w:rPr>
      </w:pPr>
      <w:r>
        <w:rPr>
          <w:rFonts w:ascii="Times New Roman" w:cs="Times New Roman" w:eastAsia="Times New Roman" w:hAnsi="Times New Roman"/>
          <w:sz w:val="14"/>
          <w:szCs w:val="14"/>
          <w:color w:val="auto"/>
        </w:rPr>
        <w:t>Exhibit 10.17 to the Company’s Annual Report on Form 10-K for the fiscal year ended December 30, 2018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9286).</w:t>
      </w:r>
    </w:p>
    <w:p>
      <w:pPr>
        <w:spacing w:after="0" w:line="122" w:lineRule="exact"/>
        <w:rPr>
          <w:sz w:val="20"/>
          <w:szCs w:val="20"/>
          <w:color w:val="auto"/>
        </w:rPr>
      </w:pPr>
    </w:p>
    <w:p>
      <w:pPr>
        <w:sectPr>
          <w:pgSz w:w="11900" w:h="16838" w:orient="portrait"/>
          <w:cols w:equalWidth="0" w:num="2">
            <w:col w:w="7320" w:space="240"/>
            <w:col w:w="3720"/>
          </w:cols>
          <w:pgMar w:left="300" w:top="647" w:right="319" w:bottom="1440" w:gutter="0" w:footer="0" w:header="0"/>
          <w:type w:val="continuous"/>
        </w:sectPr>
      </w:pPr>
    </w:p>
    <w:tbl>
      <w:tblPr>
        <w:tblLayout w:type="fixed"/>
        <w:tblInd w:w="20" w:type="dxa"/>
        <w:tblCellMar>
          <w:top w:w="0" w:type="dxa"/>
          <w:left w:w="0" w:type="dxa"/>
          <w:bottom w:w="0" w:type="dxa"/>
          <w:right w:w="0" w:type="dxa"/>
        </w:tblCellMar>
      </w:tblPr>
      <w:tr>
        <w:trPr>
          <w:trHeight w:val="152"/>
        </w:trPr>
        <w:tc>
          <w:tcPr>
            <w:tcW w:w="1220" w:type="dxa"/>
            <w:vAlign w:val="bottom"/>
          </w:tcPr>
          <w:p>
            <w:pPr>
              <w:jc w:val="right"/>
              <w:ind w:right="689"/>
              <w:spacing w:after="0" w:line="151" w:lineRule="exact"/>
              <w:rPr>
                <w:sz w:val="20"/>
                <w:szCs w:val="20"/>
                <w:color w:val="auto"/>
              </w:rPr>
            </w:pPr>
            <w:r>
              <w:rPr>
                <w:rFonts w:ascii="Times New Roman" w:cs="Times New Roman" w:eastAsia="Times New Roman" w:hAnsi="Times New Roman"/>
                <w:sz w:val="14"/>
                <w:szCs w:val="14"/>
                <w:color w:val="auto"/>
                <w:w w:val="96"/>
              </w:rPr>
              <w:t>10.12**</w:t>
            </w:r>
          </w:p>
        </w:tc>
        <w:tc>
          <w:tcPr>
            <w:tcW w:w="5780" w:type="dxa"/>
            <w:vAlign w:val="bottom"/>
            <w:tcBorders>
              <w:bottom w:val="single" w:sz="8" w:color="0000FF"/>
            </w:tcBorders>
          </w:tcPr>
          <w:p>
            <w:pPr>
              <w:spacing w:after="0" w:line="151"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Limited Liability Company Agreement of CONA Services LLC, dated as of January 27, 2016, by and</w:t>
              </w:r>
            </w:hyperlink>
          </w:p>
        </w:tc>
        <w:tc>
          <w:tcPr>
            <w:tcW w:w="240" w:type="dxa"/>
            <w:vAlign w:val="bottom"/>
          </w:tcPr>
          <w:p>
            <w:pPr>
              <w:spacing w:after="0"/>
              <w:rPr>
                <w:sz w:val="13"/>
                <w:szCs w:val="13"/>
                <w:color w:val="auto"/>
              </w:rPr>
            </w:pPr>
          </w:p>
        </w:tc>
        <w:tc>
          <w:tcPr>
            <w:tcW w:w="4000" w:type="dxa"/>
            <w:vAlign w:val="bottom"/>
          </w:tcPr>
          <w:p>
            <w:pPr>
              <w:ind w:left="300"/>
              <w:spacing w:after="0" w:line="151" w:lineRule="exact"/>
              <w:rPr>
                <w:sz w:val="20"/>
                <w:szCs w:val="20"/>
                <w:color w:val="auto"/>
              </w:rPr>
            </w:pPr>
            <w:r>
              <w:rPr>
                <w:rFonts w:ascii="Times New Roman" w:cs="Times New Roman" w:eastAsia="Times New Roman" w:hAnsi="Times New Roman"/>
                <w:sz w:val="14"/>
                <w:szCs w:val="14"/>
                <w:color w:val="auto"/>
                <w:w w:val="99"/>
              </w:rPr>
              <w:t>Exhibit 10.2 to the Company’s Quarterly Report on Form 10-Q/A</w:t>
            </w:r>
          </w:p>
        </w:tc>
      </w:tr>
      <w:tr>
        <w:trPr>
          <w:trHeight w:val="127"/>
        </w:trPr>
        <w:tc>
          <w:tcPr>
            <w:tcW w:w="1220" w:type="dxa"/>
            <w:vAlign w:val="bottom"/>
          </w:tcPr>
          <w:p>
            <w:pPr>
              <w:spacing w:after="0"/>
              <w:rPr>
                <w:sz w:val="11"/>
                <w:szCs w:val="11"/>
                <w:color w:val="auto"/>
              </w:rPr>
            </w:pPr>
          </w:p>
        </w:tc>
        <w:tc>
          <w:tcPr>
            <w:tcW w:w="6020" w:type="dxa"/>
            <w:vAlign w:val="bottom"/>
            <w:tcBorders>
              <w:bottom w:val="single" w:sz="8" w:color="0000FF"/>
            </w:tcBorders>
            <w:gridSpan w:val="2"/>
          </w:tcPr>
          <w:p>
            <w:pPr>
              <w:spacing w:after="0" w:line="127"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among the Company,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 Coca-Cola Refreshments USA, Inc. and the other bottlers</w:t>
              </w:r>
            </w:hyperlink>
          </w:p>
        </w:tc>
        <w:tc>
          <w:tcPr>
            <w:tcW w:w="4000" w:type="dxa"/>
            <w:vAlign w:val="bottom"/>
          </w:tcPr>
          <w:p>
            <w:pPr>
              <w:ind w:left="300"/>
              <w:spacing w:after="0" w:line="127" w:lineRule="exact"/>
              <w:rPr>
                <w:sz w:val="20"/>
                <w:szCs w:val="20"/>
                <w:color w:val="auto"/>
              </w:rPr>
            </w:pPr>
            <w:r>
              <w:rPr>
                <w:rFonts w:ascii="Times New Roman" w:cs="Times New Roman" w:eastAsia="Times New Roman" w:hAnsi="Times New Roman"/>
                <w:sz w:val="14"/>
                <w:szCs w:val="14"/>
                <w:color w:val="auto"/>
              </w:rPr>
              <w:t>for the quarter ended July 3, 2016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296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61530" cy="296545"/>
                    </a:xfrm>
                    <a:prstGeom prst="rect">
                      <a:avLst/>
                    </a:prstGeom>
                    <a:noFill/>
                  </pic:spPr>
                </pic:pic>
              </a:graphicData>
            </a:graphic>
          </wp:anchor>
        </w:drawing>
      </w:r>
    </w:p>
    <w:p>
      <w:pPr>
        <w:ind w:left="1240"/>
        <w:spacing w:after="0"/>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named therein.</w:t>
        </w:r>
      </w:hyperlink>
    </w:p>
    <w:p>
      <w:pPr>
        <w:sectPr>
          <w:pgSz w:w="11900" w:h="16838" w:orient="portrait"/>
          <w:cols w:equalWidth="0" w:num="1">
            <w:col w:w="11280"/>
          </w:cols>
          <w:pgMar w:left="300" w:top="647" w:right="319" w:bottom="1440" w:gutter="0" w:footer="0" w:header="0"/>
          <w:type w:val="continuous"/>
        </w:sectPr>
      </w:pPr>
    </w:p>
    <w:tbl>
      <w:tblPr>
        <w:tblLayout w:type="fixed"/>
        <w:tblInd w:w="20" w:type="dxa"/>
        <w:tblCellMar>
          <w:top w:w="0" w:type="dxa"/>
          <w:left w:w="0" w:type="dxa"/>
          <w:bottom w:w="0" w:type="dxa"/>
          <w:right w:w="0" w:type="dxa"/>
        </w:tblCellMar>
      </w:tblPr>
      <w:tr>
        <w:trPr>
          <w:trHeight w:val="157"/>
        </w:trPr>
        <w:tc>
          <w:tcPr>
            <w:tcW w:w="1220" w:type="dxa"/>
            <w:vAlign w:val="bottom"/>
          </w:tcPr>
          <w:p>
            <w:pPr>
              <w:jc w:val="right"/>
              <w:ind w:right="689"/>
              <w:spacing w:after="0" w:line="157" w:lineRule="exact"/>
              <w:rPr>
                <w:sz w:val="20"/>
                <w:szCs w:val="20"/>
                <w:color w:val="auto"/>
              </w:rPr>
            </w:pPr>
            <w:r>
              <w:rPr>
                <w:rFonts w:ascii="Times New Roman" w:cs="Times New Roman" w:eastAsia="Times New Roman" w:hAnsi="Times New Roman"/>
                <w:sz w:val="14"/>
                <w:szCs w:val="14"/>
                <w:color w:val="auto"/>
                <w:w w:val="96"/>
              </w:rPr>
              <w:t>10.13**</w:t>
            </w:r>
          </w:p>
        </w:tc>
        <w:tc>
          <w:tcPr>
            <w:tcW w:w="6040" w:type="dxa"/>
            <w:vAlign w:val="bottom"/>
            <w:gridSpan w:val="3"/>
          </w:tcPr>
          <w:p>
            <w:pPr>
              <w:spacing w:after="0" w:line="157"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Amendment No. 1 to Limited Liability Company Agreement of CONA Services LLC, dated as of April 6,</w:t>
              </w:r>
            </w:hyperlink>
          </w:p>
        </w:tc>
      </w:tr>
      <w:tr>
        <w:trPr>
          <w:trHeight w:val="118"/>
        </w:trPr>
        <w:tc>
          <w:tcPr>
            <w:tcW w:w="1220" w:type="dxa"/>
            <w:vAlign w:val="bottom"/>
          </w:tcPr>
          <w:p>
            <w:pPr>
              <w:spacing w:after="0"/>
              <w:rPr>
                <w:sz w:val="10"/>
                <w:szCs w:val="10"/>
                <w:color w:val="auto"/>
              </w:rPr>
            </w:pPr>
          </w:p>
        </w:tc>
        <w:tc>
          <w:tcPr>
            <w:tcW w:w="6020" w:type="dxa"/>
            <w:vAlign w:val="bottom"/>
            <w:tcBorders>
              <w:top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2016 and effective as of April 2, 2016, by and among the Company, The Coca</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Cola Company, Coca</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Cola</w:t>
              </w:r>
            </w:hyperlink>
          </w:p>
        </w:tc>
        <w:tc>
          <w:tcPr>
            <w:tcW w:w="20" w:type="dxa"/>
            <w:vAlign w:val="bottom"/>
          </w:tcPr>
          <w:p>
            <w:pPr>
              <w:spacing w:after="0"/>
              <w:rPr>
                <w:sz w:val="10"/>
                <w:szCs w:val="10"/>
                <w:color w:val="auto"/>
              </w:rPr>
            </w:pPr>
          </w:p>
        </w:tc>
      </w:tr>
      <w:tr>
        <w:trPr>
          <w:trHeight w:val="20"/>
        </w:trPr>
        <w:tc>
          <w:tcPr>
            <w:tcW w:w="122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240"/>
        <w:spacing w:after="0"/>
        <w:rPr>
          <w:rFonts w:ascii="Times New Roman" w:cs="Times New Roman" w:eastAsia="Times New Roman" w:hAnsi="Times New Roman"/>
          <w:sz w:val="14"/>
          <w:szCs w:val="14"/>
          <w:u w:val="single" w:color="auto"/>
          <w:color w:val="0000FF"/>
        </w:rPr>
      </w:pPr>
      <w:hyperlink r:id="rId149">
        <w:r>
          <w:rPr>
            <w:rFonts w:ascii="Times New Roman" w:cs="Times New Roman" w:eastAsia="Times New Roman" w:hAnsi="Times New Roman"/>
            <w:sz w:val="14"/>
            <w:szCs w:val="14"/>
            <w:u w:val="single" w:color="auto"/>
            <w:color w:val="0000FF"/>
          </w:rPr>
          <w:t>Refreshments USA, Inc. and the other bottlers named therein.</w:t>
        </w:r>
      </w:hyperlink>
    </w:p>
    <w:p>
      <w:pPr>
        <w:spacing w:after="0" w:line="20" w:lineRule="exact"/>
        <w:rPr>
          <w:sz w:val="20"/>
          <w:szCs w:val="20"/>
          <w:color w:val="auto"/>
        </w:rPr>
      </w:pPr>
      <w:r>
        <w:rPr>
          <w:sz w:val="20"/>
          <w:szCs w:val="20"/>
          <w:color w:val="auto"/>
        </w:rPr>
        <w:br w:type="column"/>
      </w:r>
    </w:p>
    <w:p>
      <w:pPr>
        <w:ind w:right="20"/>
        <w:spacing w:after="0" w:line="156" w:lineRule="exact"/>
        <w:rPr>
          <w:sz w:val="20"/>
          <w:szCs w:val="20"/>
          <w:color w:val="auto"/>
        </w:rPr>
      </w:pPr>
      <w:r>
        <w:rPr>
          <w:rFonts w:ascii="Times New Roman" w:cs="Times New Roman" w:eastAsia="Times New Roman" w:hAnsi="Times New Roman"/>
          <w:sz w:val="14"/>
          <w:szCs w:val="14"/>
          <w:color w:val="auto"/>
        </w:rPr>
        <w:t>Exhibit 10.3 to the Company’s Quarterly Report on Form 10-Q/A for the quarter ended July 3, 2016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p>
      <w:pPr>
        <w:spacing w:after="0" w:line="125" w:lineRule="exact"/>
        <w:rPr>
          <w:sz w:val="20"/>
          <w:szCs w:val="20"/>
          <w:color w:val="auto"/>
        </w:rPr>
      </w:pPr>
    </w:p>
    <w:p>
      <w:pPr>
        <w:sectPr>
          <w:pgSz w:w="11900" w:h="16838" w:orient="portrait"/>
          <w:cols w:equalWidth="0" w:num="2">
            <w:col w:w="7260" w:space="300"/>
            <w:col w:w="3720"/>
          </w:cols>
          <w:pgMar w:left="300" w:top="647" w:right="319" w:bottom="1440" w:gutter="0" w:footer="0" w:header="0"/>
          <w:type w:val="continuous"/>
        </w:sectPr>
      </w:pPr>
    </w:p>
    <w:tbl>
      <w:tblPr>
        <w:tblLayout w:type="fixed"/>
        <w:tblInd w:w="20" w:type="dxa"/>
        <w:tblCellMar>
          <w:top w:w="0" w:type="dxa"/>
          <w:left w:w="0" w:type="dxa"/>
          <w:bottom w:w="0" w:type="dxa"/>
          <w:right w:w="0" w:type="dxa"/>
        </w:tblCellMar>
      </w:tblPr>
      <w:tr>
        <w:trPr>
          <w:trHeight w:val="148"/>
        </w:trPr>
        <w:tc>
          <w:tcPr>
            <w:tcW w:w="1220" w:type="dxa"/>
            <w:vAlign w:val="bottom"/>
          </w:tcPr>
          <w:p>
            <w:pPr>
              <w:jc w:val="right"/>
              <w:ind w:right="689"/>
              <w:spacing w:after="0" w:line="147" w:lineRule="exact"/>
              <w:rPr>
                <w:sz w:val="20"/>
                <w:szCs w:val="20"/>
                <w:color w:val="auto"/>
              </w:rPr>
            </w:pPr>
            <w:r>
              <w:rPr>
                <w:rFonts w:ascii="Times New Roman" w:cs="Times New Roman" w:eastAsia="Times New Roman" w:hAnsi="Times New Roman"/>
                <w:sz w:val="14"/>
                <w:szCs w:val="14"/>
                <w:color w:val="auto"/>
                <w:w w:val="96"/>
              </w:rPr>
              <w:t>10.14**</w:t>
            </w:r>
          </w:p>
        </w:tc>
        <w:tc>
          <w:tcPr>
            <w:tcW w:w="6180" w:type="dxa"/>
            <w:vAlign w:val="bottom"/>
            <w:gridSpan w:val="3"/>
          </w:tcPr>
          <w:p>
            <w:pPr>
              <w:spacing w:after="0" w:line="147"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Amendment No. 2 to Limited Liability Company Agreement of CONA Services LLC, effective as of</w:t>
              </w:r>
            </w:hyperlink>
          </w:p>
        </w:tc>
        <w:tc>
          <w:tcPr>
            <w:tcW w:w="370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w w:val="99"/>
              </w:rPr>
              <w:t>Exhibit 10.4 to the Company’s Quarterly Report on Form 10-Q</w:t>
            </w:r>
          </w:p>
        </w:tc>
      </w:tr>
      <w:tr>
        <w:trPr>
          <w:trHeight w:val="127"/>
        </w:trPr>
        <w:tc>
          <w:tcPr>
            <w:tcW w:w="1220" w:type="dxa"/>
            <w:vAlign w:val="bottom"/>
          </w:tcPr>
          <w:p>
            <w:pPr>
              <w:spacing w:after="0"/>
              <w:rPr>
                <w:sz w:val="11"/>
                <w:szCs w:val="11"/>
                <w:color w:val="auto"/>
              </w:rPr>
            </w:pPr>
          </w:p>
        </w:tc>
        <w:tc>
          <w:tcPr>
            <w:tcW w:w="5740" w:type="dxa"/>
            <w:vAlign w:val="bottom"/>
            <w:tcBorders>
              <w:top w:val="single" w:sz="8" w:color="0000FF"/>
            </w:tcBorders>
          </w:tcPr>
          <w:p>
            <w:pPr>
              <w:spacing w:after="0" w:line="127"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February 22, 2017, by and among the Company,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Refreshments</w:t>
              </w:r>
            </w:hyperlink>
          </w:p>
        </w:tc>
        <w:tc>
          <w:tcPr>
            <w:tcW w:w="440" w:type="dxa"/>
            <w:vAlign w:val="bottom"/>
            <w:gridSpan w:val="2"/>
          </w:tcPr>
          <w:p>
            <w:pPr>
              <w:spacing w:after="0" w:line="127"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USA,</w:t>
              </w:r>
            </w:hyperlink>
          </w:p>
        </w:tc>
        <w:tc>
          <w:tcPr>
            <w:tcW w:w="3700" w:type="dxa"/>
            <w:vAlign w:val="bottom"/>
          </w:tcPr>
          <w:p>
            <w:pPr>
              <w:ind w:left="140"/>
              <w:spacing w:after="0" w:line="127" w:lineRule="exact"/>
              <w:rPr>
                <w:sz w:val="20"/>
                <w:szCs w:val="20"/>
                <w:color w:val="auto"/>
              </w:rPr>
            </w:pPr>
            <w:r>
              <w:rPr>
                <w:rFonts w:ascii="Times New Roman" w:cs="Times New Roman" w:eastAsia="Times New Roman" w:hAnsi="Times New Roman"/>
                <w:sz w:val="14"/>
                <w:szCs w:val="14"/>
                <w:color w:val="auto"/>
              </w:rPr>
              <w:t>for the quarter ended April 2,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0"/>
        </w:trPr>
        <w:tc>
          <w:tcPr>
            <w:tcW w:w="1220" w:type="dxa"/>
            <w:vAlign w:val="bottom"/>
          </w:tcPr>
          <w:p>
            <w:pPr>
              <w:spacing w:after="0" w:line="20" w:lineRule="exact"/>
              <w:rPr>
                <w:sz w:val="1"/>
                <w:szCs w:val="1"/>
                <w:color w:val="auto"/>
              </w:rPr>
            </w:pPr>
          </w:p>
        </w:tc>
        <w:tc>
          <w:tcPr>
            <w:tcW w:w="5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296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61530" cy="296545"/>
                    </a:xfrm>
                    <a:prstGeom prst="rect">
                      <a:avLst/>
                    </a:prstGeom>
                    <a:noFill/>
                  </pic:spPr>
                </pic:pic>
              </a:graphicData>
            </a:graphic>
          </wp:anchor>
        </w:drawing>
      </w:r>
    </w:p>
    <w:p>
      <w:pPr>
        <w:ind w:left="1240"/>
        <w:spacing w:after="0"/>
        <w:rPr>
          <w:rFonts w:ascii="Times New Roman" w:cs="Times New Roman" w:eastAsia="Times New Roman" w:hAnsi="Times New Roman"/>
          <w:sz w:val="14"/>
          <w:szCs w:val="14"/>
          <w:u w:val="single" w:color="auto"/>
          <w:color w:val="0000FF"/>
        </w:rPr>
      </w:pPr>
      <w:hyperlink r:id="rId150">
        <w:r>
          <w:rPr>
            <w:rFonts w:ascii="Times New Roman" w:cs="Times New Roman" w:eastAsia="Times New Roman" w:hAnsi="Times New Roman"/>
            <w:sz w:val="14"/>
            <w:szCs w:val="14"/>
            <w:u w:val="single" w:color="auto"/>
            <w:color w:val="0000FF"/>
          </w:rPr>
          <w:t>Inc. and the other bottlers named therein.</w:t>
        </w:r>
      </w:hyperlink>
    </w:p>
    <w:p>
      <w:pPr>
        <w:sectPr>
          <w:pgSz w:w="11900" w:h="16838" w:orient="portrait"/>
          <w:cols w:equalWidth="0" w:num="1">
            <w:col w:w="11280"/>
          </w:cols>
          <w:pgMar w:left="300" w:top="647" w:right="319" w:bottom="1440" w:gutter="0" w:footer="0" w:header="0"/>
          <w:type w:val="continuous"/>
        </w:sectPr>
      </w:pPr>
    </w:p>
    <w:tbl>
      <w:tblPr>
        <w:tblLayout w:type="fixed"/>
        <w:tblInd w:w="20" w:type="dxa"/>
        <w:tblCellMar>
          <w:top w:w="0" w:type="dxa"/>
          <w:left w:w="0" w:type="dxa"/>
          <w:bottom w:w="0" w:type="dxa"/>
          <w:right w:w="0" w:type="dxa"/>
        </w:tblCellMar>
      </w:tblPr>
      <w:tr>
        <w:trPr>
          <w:trHeight w:val="157"/>
        </w:trPr>
        <w:tc>
          <w:tcPr>
            <w:tcW w:w="1220" w:type="dxa"/>
            <w:vAlign w:val="bottom"/>
          </w:tcPr>
          <w:p>
            <w:pPr>
              <w:jc w:val="right"/>
              <w:ind w:right="829"/>
              <w:spacing w:after="0" w:line="157" w:lineRule="exact"/>
              <w:rPr>
                <w:sz w:val="20"/>
                <w:szCs w:val="20"/>
                <w:color w:val="auto"/>
              </w:rPr>
            </w:pPr>
            <w:r>
              <w:rPr>
                <w:rFonts w:ascii="Times New Roman" w:cs="Times New Roman" w:eastAsia="Times New Roman" w:hAnsi="Times New Roman"/>
                <w:sz w:val="14"/>
                <w:szCs w:val="14"/>
                <w:color w:val="auto"/>
                <w:w w:val="95"/>
              </w:rPr>
              <w:t>10.15</w:t>
            </w:r>
          </w:p>
        </w:tc>
        <w:tc>
          <w:tcPr>
            <w:tcW w:w="6140" w:type="dxa"/>
            <w:vAlign w:val="bottom"/>
            <w:tcBorders>
              <w:bottom w:val="single" w:sz="8" w:color="0000FF"/>
            </w:tcBorders>
            <w:gridSpan w:val="2"/>
          </w:tcPr>
          <w:p>
            <w:pPr>
              <w:spacing w:after="0" w:line="157"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Amendment No. 3 to Limited Liability Company Agreement of CONA Services LLC, dated as of August 5,</w:t>
              </w:r>
            </w:hyperlink>
          </w:p>
        </w:tc>
      </w:tr>
      <w:tr>
        <w:trPr>
          <w:trHeight w:val="118"/>
        </w:trPr>
        <w:tc>
          <w:tcPr>
            <w:tcW w:w="1220" w:type="dxa"/>
            <w:vAlign w:val="bottom"/>
          </w:tcPr>
          <w:p>
            <w:pPr>
              <w:spacing w:after="0"/>
              <w:rPr>
                <w:sz w:val="10"/>
                <w:szCs w:val="10"/>
                <w:color w:val="auto"/>
              </w:rPr>
            </w:pPr>
          </w:p>
        </w:tc>
        <w:tc>
          <w:tcPr>
            <w:tcW w:w="6140" w:type="dxa"/>
            <w:vAlign w:val="bottom"/>
            <w:gridSpan w:val="2"/>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2020 and effective as of January 1, 2019, by and among the Company, The Coca</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Cola Company and the</w:t>
              </w:r>
            </w:hyperlink>
          </w:p>
        </w:tc>
      </w:tr>
      <w:tr>
        <w:trPr>
          <w:trHeight w:val="20"/>
        </w:trPr>
        <w:tc>
          <w:tcPr>
            <w:tcW w:w="1220" w:type="dxa"/>
            <w:vAlign w:val="bottom"/>
          </w:tcPr>
          <w:p>
            <w:pPr>
              <w:spacing w:after="0" w:line="20" w:lineRule="exact"/>
              <w:rPr>
                <w:sz w:val="1"/>
                <w:szCs w:val="1"/>
                <w:color w:val="auto"/>
              </w:rPr>
            </w:pPr>
          </w:p>
        </w:tc>
        <w:tc>
          <w:tcPr>
            <w:tcW w:w="59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ind w:left="1240"/>
        <w:spacing w:after="0"/>
        <w:rPr>
          <w:rFonts w:ascii="Times New Roman" w:cs="Times New Roman" w:eastAsia="Times New Roman" w:hAnsi="Times New Roman"/>
          <w:sz w:val="14"/>
          <w:szCs w:val="14"/>
          <w:u w:val="single" w:color="auto"/>
          <w:color w:val="0000FF"/>
        </w:rPr>
      </w:pPr>
      <w:hyperlink r:id="rId152">
        <w:r>
          <w:rPr>
            <w:rFonts w:ascii="Times New Roman" w:cs="Times New Roman" w:eastAsia="Times New Roman" w:hAnsi="Times New Roman"/>
            <w:sz w:val="14"/>
            <w:szCs w:val="14"/>
            <w:u w:val="single" w:color="auto"/>
            <w:color w:val="0000FF"/>
          </w:rPr>
          <w:t>other bottlers named therein.</w:t>
        </w:r>
      </w:hyperlink>
    </w:p>
    <w:p>
      <w:pPr>
        <w:spacing w:after="0" w:line="20" w:lineRule="exact"/>
        <w:rPr>
          <w:sz w:val="20"/>
          <w:szCs w:val="20"/>
          <w:color w:val="auto"/>
        </w:rPr>
      </w:pPr>
      <w:r>
        <w:rPr>
          <w:sz w:val="20"/>
          <w:szCs w:val="20"/>
          <w:color w:val="auto"/>
        </w:rPr>
        <w:br w:type="column"/>
      </w:r>
    </w:p>
    <w:p>
      <w:pPr>
        <w:ind w:right="160"/>
        <w:spacing w:after="0" w:line="156" w:lineRule="exact"/>
        <w:rPr>
          <w:sz w:val="20"/>
          <w:szCs w:val="20"/>
          <w:color w:val="auto"/>
        </w:rPr>
      </w:pPr>
      <w:r>
        <w:rPr>
          <w:rFonts w:ascii="Times New Roman" w:cs="Times New Roman" w:eastAsia="Times New Roman" w:hAnsi="Times New Roman"/>
          <w:sz w:val="14"/>
          <w:szCs w:val="14"/>
          <w:color w:val="auto"/>
        </w:rPr>
        <w:t>Exhibit 10.3 to the Company’s Quarterly Report on Form 10-Q for the quarter ended September 27, 2020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p>
      <w:pPr>
        <w:spacing w:after="0" w:line="125" w:lineRule="exact"/>
        <w:rPr>
          <w:sz w:val="20"/>
          <w:szCs w:val="20"/>
          <w:color w:val="auto"/>
        </w:rPr>
      </w:pPr>
    </w:p>
    <w:p>
      <w:pPr>
        <w:sectPr>
          <w:pgSz w:w="11900" w:h="16838" w:orient="portrait"/>
          <w:cols w:equalWidth="0" w:num="2">
            <w:col w:w="7380" w:space="180"/>
            <w:col w:w="3720"/>
          </w:cols>
          <w:pgMar w:left="300" w:top="647" w:right="31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12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10.16**</w:t>
            </w:r>
          </w:p>
        </w:tc>
        <w:tc>
          <w:tcPr>
            <w:tcW w:w="6240" w:type="dxa"/>
            <w:vAlign w:val="bottom"/>
            <w:gridSpan w:val="22"/>
            <w:shd w:val="clear" w:color="auto" w:fill="CCEEFF"/>
          </w:tcPr>
          <w:p>
            <w:pPr>
              <w:spacing w:after="0" w:line="147"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Amended and Restated Master Services Agreement, dated as of October 2, 2017, by and between the</w:t>
              </w:r>
            </w:hyperlink>
          </w:p>
        </w:tc>
        <w:tc>
          <w:tcPr>
            <w:tcW w:w="38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Exhibit 10.71 to the Company’s Annual Report on Form 10-K</w:t>
            </w:r>
          </w:p>
        </w:tc>
      </w:tr>
      <w:tr>
        <w:trPr>
          <w:trHeight w:val="127"/>
        </w:trPr>
        <w:tc>
          <w:tcPr>
            <w:tcW w:w="1240" w:type="dxa"/>
            <w:vAlign w:val="bottom"/>
            <w:tcBorders>
              <w:top w:val="single" w:sz="8" w:color="CCEEFF"/>
            </w:tcBorders>
            <w:shd w:val="clear" w:color="auto" w:fill="CCEEFF"/>
          </w:tcPr>
          <w:p>
            <w:pPr>
              <w:spacing w:after="0"/>
              <w:rPr>
                <w:sz w:val="11"/>
                <w:szCs w:val="11"/>
                <w:color w:val="auto"/>
              </w:rPr>
            </w:pPr>
          </w:p>
        </w:tc>
        <w:tc>
          <w:tcPr>
            <w:tcW w:w="5740" w:type="dxa"/>
            <w:vAlign w:val="bottom"/>
            <w:tcBorders>
              <w:top w:val="single" w:sz="8" w:color="0000FF"/>
            </w:tcBorders>
            <w:gridSpan w:val="12"/>
            <w:shd w:val="clear" w:color="auto" w:fill="CCEEFF"/>
          </w:tcPr>
          <w:p>
            <w:pPr>
              <w:spacing w:after="0" w:line="127"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Company and CONA Services LLC.</w:t>
              </w:r>
            </w:hyperlink>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0" w:type="dxa"/>
            <w:vAlign w:val="bottom"/>
            <w:tcBorders>
              <w:top w:val="single" w:sz="8" w:color="CCEEFF"/>
            </w:tcBorders>
            <w:shd w:val="clear" w:color="auto" w:fill="CCEEFF"/>
          </w:tcPr>
          <w:p>
            <w:pPr>
              <w:ind w:left="8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31,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10.17</w:t>
            </w:r>
          </w:p>
        </w:tc>
        <w:tc>
          <w:tcPr>
            <w:tcW w:w="6240" w:type="dxa"/>
            <w:vAlign w:val="bottom"/>
            <w:gridSpan w:val="22"/>
          </w:tcPr>
          <w:p>
            <w:pPr>
              <w:spacing w:after="0" w:line="138"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Omnibus Letter Agreement, dated March 31, 2017, by and between the Company and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w:t>
              </w:r>
            </w:hyperlink>
          </w:p>
        </w:tc>
        <w:tc>
          <w:tcPr>
            <w:tcW w:w="380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r>
      <w:tr>
        <w:trPr>
          <w:trHeight w:val="127"/>
        </w:trPr>
        <w:tc>
          <w:tcPr>
            <w:tcW w:w="1240" w:type="dxa"/>
            <w:vAlign w:val="bottom"/>
          </w:tcPr>
          <w:p>
            <w:pPr>
              <w:spacing w:after="0"/>
              <w:rPr>
                <w:sz w:val="11"/>
                <w:szCs w:val="11"/>
                <w:color w:val="auto"/>
              </w:rPr>
            </w:pPr>
          </w:p>
        </w:tc>
        <w:tc>
          <w:tcPr>
            <w:tcW w:w="5520" w:type="dxa"/>
            <w:vAlign w:val="bottom"/>
            <w:tcBorders>
              <w:top w:val="single" w:sz="8" w:color="0000FF"/>
            </w:tcBorders>
            <w:gridSpan w:val="9"/>
          </w:tcPr>
          <w:p>
            <w:pPr>
              <w:spacing w:after="0" w:line="127"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Refreshments USA, Inc.</w:t>
              </w:r>
            </w:hyperlink>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tcPr>
          <w:p>
            <w:pPr>
              <w:ind w:left="80"/>
              <w:spacing w:after="0" w:line="127" w:lineRule="exact"/>
              <w:rPr>
                <w:sz w:val="20"/>
                <w:szCs w:val="20"/>
                <w:color w:val="auto"/>
              </w:rPr>
            </w:pPr>
            <w:r>
              <w:rPr>
                <w:rFonts w:ascii="Times New Roman" w:cs="Times New Roman" w:eastAsia="Times New Roman" w:hAnsi="Times New Roman"/>
                <w:sz w:val="14"/>
                <w:szCs w:val="14"/>
                <w:color w:val="auto"/>
              </w:rPr>
              <w:t>on April 4,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10.18</w:t>
            </w:r>
          </w:p>
        </w:tc>
        <w:tc>
          <w:tcPr>
            <w:tcW w:w="6240" w:type="dxa"/>
            <w:vAlign w:val="bottom"/>
            <w:gridSpan w:val="22"/>
            <w:shd w:val="clear" w:color="auto" w:fill="CCEEFF"/>
          </w:tcPr>
          <w:p>
            <w:pPr>
              <w:spacing w:after="0" w:line="138"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Amended and Restated Ancillary Business Letter, dated March 31, 2017, by and between the Company and</w:t>
              </w:r>
            </w:hyperlink>
          </w:p>
        </w:tc>
        <w:tc>
          <w:tcPr>
            <w:tcW w:w="380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Exhibit 10.2 to the Company’s Current Report on Form 8-K filed</w:t>
            </w:r>
          </w:p>
        </w:tc>
      </w:tr>
      <w:tr>
        <w:trPr>
          <w:trHeight w:val="127"/>
        </w:trPr>
        <w:tc>
          <w:tcPr>
            <w:tcW w:w="1240" w:type="dxa"/>
            <w:vAlign w:val="bottom"/>
            <w:tcBorders>
              <w:top w:val="single" w:sz="8" w:color="CCEEFF"/>
            </w:tcBorders>
            <w:shd w:val="clear" w:color="auto" w:fill="CCEEFF"/>
          </w:tcPr>
          <w:p>
            <w:pPr>
              <w:spacing w:after="0"/>
              <w:rPr>
                <w:sz w:val="11"/>
                <w:szCs w:val="11"/>
                <w:color w:val="auto"/>
              </w:rPr>
            </w:pPr>
          </w:p>
        </w:tc>
        <w:tc>
          <w:tcPr>
            <w:tcW w:w="6120" w:type="dxa"/>
            <w:vAlign w:val="bottom"/>
            <w:tcBorders>
              <w:top w:val="single" w:sz="8" w:color="0000FF"/>
            </w:tcBorders>
            <w:gridSpan w:val="19"/>
            <w:shd w:val="clear" w:color="auto" w:fill="CCEEFF"/>
          </w:tcPr>
          <w:p>
            <w:pPr>
              <w:spacing w:after="0" w:line="127"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0" w:type="dxa"/>
            <w:vAlign w:val="bottom"/>
            <w:tcBorders>
              <w:top w:val="single" w:sz="8" w:color="CCEEFF"/>
            </w:tcBorders>
            <w:shd w:val="clear" w:color="auto" w:fill="CCEEFF"/>
          </w:tcPr>
          <w:p>
            <w:pPr>
              <w:ind w:left="80"/>
              <w:spacing w:after="0" w:line="127" w:lineRule="exact"/>
              <w:rPr>
                <w:sz w:val="20"/>
                <w:szCs w:val="20"/>
                <w:color w:val="auto"/>
              </w:rPr>
            </w:pPr>
            <w:r>
              <w:rPr>
                <w:rFonts w:ascii="Times New Roman" w:cs="Times New Roman" w:eastAsia="Times New Roman" w:hAnsi="Times New Roman"/>
                <w:sz w:val="14"/>
                <w:szCs w:val="14"/>
                <w:color w:val="auto"/>
              </w:rPr>
              <w:t>on April 4,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10.19**</w:t>
            </w:r>
          </w:p>
        </w:tc>
        <w:tc>
          <w:tcPr>
            <w:tcW w:w="6240" w:type="dxa"/>
            <w:vAlign w:val="bottom"/>
            <w:gridSpan w:val="22"/>
          </w:tcPr>
          <w:p>
            <w:pPr>
              <w:spacing w:after="0" w:line="138"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Comprehensive Beverage Agreement, dated March 31, 2017, by and between the Company,</w:t>
              </w:r>
            </w:hyperlink>
          </w:p>
        </w:tc>
        <w:tc>
          <w:tcPr>
            <w:tcW w:w="380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Exhibit 10.5 to the Company’s Quarterly Report on Form 10-Q</w:t>
            </w:r>
          </w:p>
        </w:tc>
      </w:tr>
      <w:tr>
        <w:trPr>
          <w:trHeight w:val="127"/>
        </w:trPr>
        <w:tc>
          <w:tcPr>
            <w:tcW w:w="1240" w:type="dxa"/>
            <w:vAlign w:val="bottom"/>
          </w:tcPr>
          <w:p>
            <w:pPr>
              <w:spacing w:after="0"/>
              <w:rPr>
                <w:sz w:val="11"/>
                <w:szCs w:val="11"/>
                <w:color w:val="auto"/>
              </w:rPr>
            </w:pPr>
          </w:p>
        </w:tc>
        <w:tc>
          <w:tcPr>
            <w:tcW w:w="5220" w:type="dxa"/>
            <w:vAlign w:val="bottom"/>
            <w:tcBorders>
              <w:top w:val="single" w:sz="8" w:color="0000FF"/>
            </w:tcBorders>
            <w:gridSpan w:val="8"/>
          </w:tcPr>
          <w:p>
            <w:pPr>
              <w:spacing w:after="0" w:line="127"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 and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Refreshments USA, Inc.</w:t>
              </w:r>
            </w:hyperlink>
          </w:p>
        </w:tc>
        <w:tc>
          <w:tcPr>
            <w:tcW w:w="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tcPr>
          <w:p>
            <w:pPr>
              <w:ind w:left="80"/>
              <w:spacing w:after="0" w:line="127" w:lineRule="exact"/>
              <w:rPr>
                <w:sz w:val="20"/>
                <w:szCs w:val="20"/>
                <w:color w:val="auto"/>
              </w:rPr>
            </w:pPr>
            <w:r>
              <w:rPr>
                <w:rFonts w:ascii="Times New Roman" w:cs="Times New Roman" w:eastAsia="Times New Roman" w:hAnsi="Times New Roman"/>
                <w:sz w:val="14"/>
                <w:szCs w:val="14"/>
                <w:color w:val="auto"/>
              </w:rPr>
              <w:t>for the quarter ended April 2,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10.20**</w:t>
            </w:r>
          </w:p>
        </w:tc>
        <w:tc>
          <w:tcPr>
            <w:tcW w:w="6240" w:type="dxa"/>
            <w:vAlign w:val="bottom"/>
            <w:gridSpan w:val="22"/>
            <w:shd w:val="clear" w:color="auto" w:fill="CCEEFF"/>
          </w:tcPr>
          <w:p>
            <w:pPr>
              <w:spacing w:after="0" w:line="138"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Comprehensive Beverage Agreement, dated March 31, 2017, by and between CCBCC Operations, LLC, a</w:t>
              </w:r>
            </w:hyperlink>
          </w:p>
        </w:tc>
        <w:tc>
          <w:tcPr>
            <w:tcW w:w="380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Exhibit 10.6 to the Company’s Quarterly Report on Form 10-Q</w:t>
            </w:r>
          </w:p>
        </w:tc>
      </w:tr>
      <w:tr>
        <w:trPr>
          <w:trHeight w:val="127"/>
        </w:trPr>
        <w:tc>
          <w:tcPr>
            <w:tcW w:w="1240" w:type="dxa"/>
            <w:vAlign w:val="bottom"/>
            <w:tcBorders>
              <w:top w:val="single" w:sz="8" w:color="CCEEFF"/>
            </w:tcBorders>
            <w:shd w:val="clear" w:color="auto" w:fill="CCEEFF"/>
          </w:tcPr>
          <w:p>
            <w:pPr>
              <w:spacing w:after="0"/>
              <w:rPr>
                <w:sz w:val="11"/>
                <w:szCs w:val="11"/>
                <w:color w:val="auto"/>
              </w:rPr>
            </w:pPr>
          </w:p>
        </w:tc>
        <w:tc>
          <w:tcPr>
            <w:tcW w:w="6040" w:type="dxa"/>
            <w:vAlign w:val="bottom"/>
            <w:tcBorders>
              <w:top w:val="single" w:sz="8" w:color="0000FF"/>
            </w:tcBorders>
            <w:gridSpan w:val="16"/>
            <w:shd w:val="clear" w:color="auto" w:fill="CCEEFF"/>
          </w:tcPr>
          <w:p>
            <w:pPr>
              <w:spacing w:after="0" w:line="127"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wholly owned subsidiary of the Company (as successor in interest to Piedmont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0" w:type="dxa"/>
            <w:vAlign w:val="bottom"/>
            <w:tcBorders>
              <w:top w:val="single" w:sz="8" w:color="CCEEFF"/>
            </w:tcBorders>
            <w:shd w:val="clear" w:color="auto" w:fill="CCEEFF"/>
          </w:tcPr>
          <w:p>
            <w:pPr>
              <w:ind w:left="80"/>
              <w:spacing w:after="0" w:line="127" w:lineRule="exact"/>
              <w:rPr>
                <w:sz w:val="20"/>
                <w:szCs w:val="20"/>
                <w:color w:val="auto"/>
              </w:rPr>
            </w:pPr>
            <w:r>
              <w:rPr>
                <w:rFonts w:ascii="Times New Roman" w:cs="Times New Roman" w:eastAsia="Times New Roman" w:hAnsi="Times New Roman"/>
                <w:sz w:val="14"/>
                <w:szCs w:val="14"/>
                <w:color w:val="auto"/>
              </w:rPr>
              <w:t>for the quarter ended April 2,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29"/>
        </w:trPr>
        <w:tc>
          <w:tcPr>
            <w:tcW w:w="1240" w:type="dxa"/>
            <w:vAlign w:val="bottom"/>
            <w:tcBorders>
              <w:top w:val="single" w:sz="8" w:color="CCEEFF"/>
            </w:tcBorders>
            <w:shd w:val="clear" w:color="auto" w:fill="CCEEFF"/>
          </w:tcPr>
          <w:p>
            <w:pPr>
              <w:spacing w:after="0"/>
              <w:rPr>
                <w:sz w:val="11"/>
                <w:szCs w:val="11"/>
                <w:color w:val="auto"/>
              </w:rPr>
            </w:pPr>
          </w:p>
        </w:tc>
        <w:tc>
          <w:tcPr>
            <w:tcW w:w="5620" w:type="dxa"/>
            <w:vAlign w:val="bottom"/>
            <w:tcBorders>
              <w:top w:val="single" w:sz="8" w:color="0000FF"/>
            </w:tcBorders>
            <w:gridSpan w:val="10"/>
            <w:shd w:val="clear" w:color="auto" w:fill="CCEEFF"/>
          </w:tcPr>
          <w:p>
            <w:pPr>
              <w:spacing w:after="0" w:line="12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Partnership), and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w:t>
              </w:r>
            </w:hyperlink>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0" w:type="dxa"/>
            <w:vAlign w:val="bottom"/>
            <w:tcBorders>
              <w:top w:val="single" w:sz="8" w:color="CCEEFF"/>
            </w:tcBorders>
            <w:shd w:val="clear" w:color="auto" w:fill="CCEEFF"/>
          </w:tcPr>
          <w:p>
            <w:pPr>
              <w:spacing w:after="0"/>
              <w:rPr>
                <w:sz w:val="11"/>
                <w:szCs w:val="11"/>
                <w:color w:val="auto"/>
              </w:rPr>
            </w:pPr>
          </w:p>
        </w:tc>
      </w:tr>
      <w:tr>
        <w:trPr>
          <w:trHeight w:val="32"/>
        </w:trPr>
        <w:tc>
          <w:tcPr>
            <w:tcW w:w="1240" w:type="dxa"/>
            <w:vAlign w:val="bottom"/>
            <w:shd w:val="clear" w:color="auto" w:fill="CCEE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10.21**</w:t>
            </w:r>
          </w:p>
        </w:tc>
        <w:tc>
          <w:tcPr>
            <w:tcW w:w="6240" w:type="dxa"/>
            <w:vAlign w:val="bottom"/>
            <w:gridSpan w:val="22"/>
          </w:tcPr>
          <w:p>
            <w:pPr>
              <w:spacing w:after="0" w:line="138"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First Amendment to Comprehensive Beverage Agreement, dated April 28, 2017, by and between the</w:t>
              </w:r>
            </w:hyperlink>
          </w:p>
        </w:tc>
        <w:tc>
          <w:tcPr>
            <w:tcW w:w="380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Exhibit 10.1 to the Company’s Quarterly Report on Form 10-Q</w:t>
            </w:r>
          </w:p>
        </w:tc>
      </w:tr>
      <w:tr>
        <w:trPr>
          <w:trHeight w:val="127"/>
        </w:trPr>
        <w:tc>
          <w:tcPr>
            <w:tcW w:w="1240" w:type="dxa"/>
            <w:vAlign w:val="bottom"/>
          </w:tcPr>
          <w:p>
            <w:pPr>
              <w:spacing w:after="0"/>
              <w:rPr>
                <w:sz w:val="11"/>
                <w:szCs w:val="11"/>
                <w:color w:val="auto"/>
              </w:rPr>
            </w:pPr>
          </w:p>
        </w:tc>
        <w:tc>
          <w:tcPr>
            <w:tcW w:w="5720" w:type="dxa"/>
            <w:vAlign w:val="bottom"/>
            <w:tcBorders>
              <w:top w:val="single" w:sz="8" w:color="0000FF"/>
            </w:tcBorders>
            <w:gridSpan w:val="11"/>
          </w:tcPr>
          <w:p>
            <w:pPr>
              <w:spacing w:after="0" w:line="127"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Company,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 and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Refreshments USA, Inc.</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tcPr>
          <w:p>
            <w:pPr>
              <w:ind w:left="80"/>
              <w:spacing w:after="0" w:line="127" w:lineRule="exact"/>
              <w:rPr>
                <w:sz w:val="20"/>
                <w:szCs w:val="20"/>
                <w:color w:val="auto"/>
              </w:rPr>
            </w:pPr>
            <w:r>
              <w:rPr>
                <w:rFonts w:ascii="Times New Roman" w:cs="Times New Roman" w:eastAsia="Times New Roman" w:hAnsi="Times New Roman"/>
                <w:sz w:val="14"/>
                <w:szCs w:val="14"/>
                <w:color w:val="auto"/>
              </w:rPr>
              <w:t>for the quarter ended July 2,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10.22**</w:t>
            </w:r>
          </w:p>
        </w:tc>
        <w:tc>
          <w:tcPr>
            <w:tcW w:w="6240" w:type="dxa"/>
            <w:vAlign w:val="bottom"/>
            <w:gridSpan w:val="22"/>
            <w:shd w:val="clear" w:color="auto" w:fill="CCEEFF"/>
          </w:tcPr>
          <w:p>
            <w:pPr>
              <w:spacing w:after="0" w:line="138"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Amendment to Comprehensive Beverage Agreements, dated October 2, 2017, by and between the Company,</w:t>
              </w:r>
            </w:hyperlink>
          </w:p>
        </w:tc>
        <w:tc>
          <w:tcPr>
            <w:tcW w:w="380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Exhibit 10.72 to the Company’s Annual Report on Form 10-K</w:t>
            </w:r>
          </w:p>
        </w:tc>
      </w:tr>
      <w:tr>
        <w:trPr>
          <w:trHeight w:val="127"/>
        </w:trPr>
        <w:tc>
          <w:tcPr>
            <w:tcW w:w="1240" w:type="dxa"/>
            <w:vAlign w:val="bottom"/>
            <w:tcBorders>
              <w:top w:val="single" w:sz="8" w:color="CCEEFF"/>
            </w:tcBorders>
            <w:shd w:val="clear" w:color="auto" w:fill="CCEEFF"/>
          </w:tcPr>
          <w:p>
            <w:pPr>
              <w:spacing w:after="0"/>
              <w:rPr>
                <w:sz w:val="11"/>
                <w:szCs w:val="11"/>
                <w:color w:val="auto"/>
              </w:rPr>
            </w:pPr>
          </w:p>
        </w:tc>
        <w:tc>
          <w:tcPr>
            <w:tcW w:w="6160" w:type="dxa"/>
            <w:vAlign w:val="bottom"/>
            <w:tcBorders>
              <w:top w:val="single" w:sz="8" w:color="0000FF"/>
            </w:tcBorders>
            <w:gridSpan w:val="21"/>
            <w:shd w:val="clear" w:color="auto" w:fill="CCEEFF"/>
          </w:tcPr>
          <w:p>
            <w:pPr>
              <w:spacing w:after="0" w:line="127"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CCBCC Operations, LLC, a wholly owned subsidiary of the Company (as successor in interest to Piedmont</w:t>
              </w:r>
            </w:hyperlink>
          </w:p>
        </w:tc>
        <w:tc>
          <w:tcPr>
            <w:tcW w:w="80" w:type="dxa"/>
            <w:vAlign w:val="bottom"/>
            <w:tcBorders>
              <w:top w:val="single" w:sz="8" w:color="CCEEFF"/>
            </w:tcBorders>
            <w:shd w:val="clear" w:color="auto" w:fill="CCEEFF"/>
          </w:tcPr>
          <w:p>
            <w:pPr>
              <w:spacing w:after="0"/>
              <w:rPr>
                <w:sz w:val="11"/>
                <w:szCs w:val="11"/>
                <w:color w:val="auto"/>
              </w:rPr>
            </w:pPr>
          </w:p>
        </w:tc>
        <w:tc>
          <w:tcPr>
            <w:tcW w:w="3800" w:type="dxa"/>
            <w:vAlign w:val="bottom"/>
            <w:tcBorders>
              <w:top w:val="single" w:sz="8" w:color="CCEEFF"/>
            </w:tcBorders>
            <w:shd w:val="clear" w:color="auto" w:fill="CCEEFF"/>
          </w:tcPr>
          <w:p>
            <w:pPr>
              <w:ind w:left="8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31,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29"/>
        </w:trPr>
        <w:tc>
          <w:tcPr>
            <w:tcW w:w="1240" w:type="dxa"/>
            <w:vAlign w:val="bottom"/>
            <w:tcBorders>
              <w:top w:val="single" w:sz="8" w:color="CCEEFF"/>
            </w:tcBorders>
            <w:shd w:val="clear" w:color="auto" w:fill="CCEEFF"/>
          </w:tcPr>
          <w:p>
            <w:pPr>
              <w:spacing w:after="0"/>
              <w:rPr>
                <w:sz w:val="11"/>
                <w:szCs w:val="11"/>
                <w:color w:val="auto"/>
              </w:rPr>
            </w:pPr>
          </w:p>
        </w:tc>
        <w:tc>
          <w:tcPr>
            <w:tcW w:w="6140" w:type="dxa"/>
            <w:vAlign w:val="bottom"/>
            <w:tcBorders>
              <w:top w:val="single" w:sz="8" w:color="0000FF"/>
            </w:tcBorders>
            <w:gridSpan w:val="20"/>
            <w:shd w:val="clear" w:color="auto" w:fill="CCEEFF"/>
          </w:tcPr>
          <w:p>
            <w:pPr>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 Partnership), The Coca-Cola Company, Coca-Cola Refreshments USA, Inc. and CCBC</w:t>
              </w:r>
            </w:hyperlink>
          </w:p>
        </w:tc>
        <w:tc>
          <w:tcPr>
            <w:tcW w:w="100" w:type="dxa"/>
            <w:vAlign w:val="bottom"/>
            <w:tcBorders>
              <w:top w:val="single" w:sz="8" w:color="CCEEFF"/>
            </w:tcBorders>
            <w:gridSpan w:val="2"/>
            <w:shd w:val="clear" w:color="auto" w:fill="CCEEFF"/>
          </w:tcPr>
          <w:p>
            <w:pPr>
              <w:spacing w:after="0"/>
              <w:rPr>
                <w:sz w:val="11"/>
                <w:szCs w:val="11"/>
                <w:color w:val="auto"/>
              </w:rPr>
            </w:pPr>
          </w:p>
        </w:tc>
        <w:tc>
          <w:tcPr>
            <w:tcW w:w="3800" w:type="dxa"/>
            <w:vAlign w:val="bottom"/>
            <w:tcBorders>
              <w:top w:val="single" w:sz="8" w:color="CCEEFF"/>
            </w:tcBorders>
            <w:shd w:val="clear" w:color="auto" w:fill="CCEEFF"/>
          </w:tcPr>
          <w:p>
            <w:pPr>
              <w:spacing w:after="0"/>
              <w:rPr>
                <w:sz w:val="11"/>
                <w:szCs w:val="11"/>
                <w:color w:val="auto"/>
              </w:rPr>
            </w:pPr>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6100" w:type="dxa"/>
            <w:vAlign w:val="bottom"/>
            <w:tcBorders>
              <w:top w:val="single" w:sz="8" w:color="0000FF"/>
            </w:tcBorders>
            <w:gridSpan w:val="18"/>
            <w:shd w:val="clear" w:color="auto" w:fill="CCEEFF"/>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of Wilmington, Inc.</w:t>
              </w:r>
            </w:hyperlink>
          </w:p>
        </w:tc>
        <w:tc>
          <w:tcPr>
            <w:tcW w:w="140" w:type="dxa"/>
            <w:vAlign w:val="bottom"/>
            <w:tcBorders>
              <w:top w:val="single" w:sz="8" w:color="CCEEFF"/>
            </w:tcBorders>
            <w:gridSpan w:val="4"/>
            <w:shd w:val="clear" w:color="auto" w:fill="CCEEFF"/>
          </w:tcPr>
          <w:p>
            <w:pPr>
              <w:spacing w:after="0"/>
              <w:rPr>
                <w:sz w:val="10"/>
                <w:szCs w:val="10"/>
                <w:color w:val="auto"/>
              </w:rPr>
            </w:pPr>
          </w:p>
        </w:tc>
        <w:tc>
          <w:tcPr>
            <w:tcW w:w="3800" w:type="dxa"/>
            <w:vAlign w:val="bottom"/>
            <w:tcBorders>
              <w:top w:val="single" w:sz="8" w:color="CCEEFF"/>
            </w:tcBorders>
            <w:shd w:val="clear" w:color="auto" w:fill="CCEEFF"/>
          </w:tcPr>
          <w:p>
            <w:pPr>
              <w:spacing w:after="0"/>
              <w:rPr>
                <w:sz w:val="10"/>
                <w:szCs w:val="10"/>
                <w:color w:val="auto"/>
              </w:rPr>
            </w:pPr>
          </w:p>
        </w:tc>
      </w:tr>
      <w:tr>
        <w:trPr>
          <w:trHeight w:val="32"/>
        </w:trPr>
        <w:tc>
          <w:tcPr>
            <w:tcW w:w="1240" w:type="dxa"/>
            <w:vAlign w:val="bottom"/>
            <w:shd w:val="clear" w:color="auto" w:fill="CCEE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10.23**</w:t>
            </w:r>
          </w:p>
        </w:tc>
        <w:tc>
          <w:tcPr>
            <w:tcW w:w="6240" w:type="dxa"/>
            <w:vAlign w:val="bottom"/>
            <w:gridSpan w:val="22"/>
          </w:tcPr>
          <w:p>
            <w:pPr>
              <w:spacing w:after="0" w:line="138"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Third Amendment to Comprehensive Beverage Agreement, dated December 26, 2017, by and between the</w:t>
              </w:r>
            </w:hyperlink>
          </w:p>
        </w:tc>
        <w:tc>
          <w:tcPr>
            <w:tcW w:w="380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Exhibit 10.74 to the Company’s Annual Report on Form 10-K</w:t>
            </w:r>
          </w:p>
        </w:tc>
      </w:tr>
      <w:tr>
        <w:trPr>
          <w:trHeight w:val="127"/>
        </w:trPr>
        <w:tc>
          <w:tcPr>
            <w:tcW w:w="1240" w:type="dxa"/>
            <w:vAlign w:val="bottom"/>
          </w:tcPr>
          <w:p>
            <w:pPr>
              <w:spacing w:after="0"/>
              <w:rPr>
                <w:sz w:val="11"/>
                <w:szCs w:val="11"/>
                <w:color w:val="auto"/>
              </w:rPr>
            </w:pPr>
          </w:p>
        </w:tc>
        <w:tc>
          <w:tcPr>
            <w:tcW w:w="6060" w:type="dxa"/>
            <w:vAlign w:val="bottom"/>
            <w:tcBorders>
              <w:top w:val="single" w:sz="8" w:color="0000FF"/>
            </w:tcBorders>
            <w:gridSpan w:val="17"/>
          </w:tcPr>
          <w:p>
            <w:pPr>
              <w:spacing w:after="0" w:line="127"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Company,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 and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Refreshments USA, Inc.</w:t>
              </w:r>
            </w:hyperlink>
          </w:p>
        </w:tc>
        <w:tc>
          <w:tcPr>
            <w:tcW w:w="180" w:type="dxa"/>
            <w:vAlign w:val="bottom"/>
            <w:gridSpan w:val="5"/>
          </w:tcPr>
          <w:p>
            <w:pPr>
              <w:spacing w:after="0"/>
              <w:rPr>
                <w:sz w:val="11"/>
                <w:szCs w:val="11"/>
                <w:color w:val="auto"/>
              </w:rPr>
            </w:pPr>
          </w:p>
        </w:tc>
        <w:tc>
          <w:tcPr>
            <w:tcW w:w="3800" w:type="dxa"/>
            <w:vAlign w:val="bottom"/>
          </w:tcPr>
          <w:p>
            <w:pPr>
              <w:ind w:left="8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31,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10.24**</w:t>
            </w:r>
          </w:p>
        </w:tc>
        <w:tc>
          <w:tcPr>
            <w:tcW w:w="6240" w:type="dxa"/>
            <w:vAlign w:val="bottom"/>
            <w:gridSpan w:val="22"/>
            <w:shd w:val="clear" w:color="auto" w:fill="CCEEFF"/>
          </w:tcPr>
          <w:p>
            <w:pPr>
              <w:spacing w:after="0" w:line="138"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Fourth Amendment to Comprehensive Beverage Agreement, dated April 30, 2018, by and between the</w:t>
              </w:r>
            </w:hyperlink>
          </w:p>
        </w:tc>
        <w:tc>
          <w:tcPr>
            <w:tcW w:w="380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Exhibit 10.1 to the Company’s Quarterly Report on Form 10-Q</w:t>
            </w:r>
          </w:p>
        </w:tc>
      </w:tr>
      <w:tr>
        <w:trPr>
          <w:trHeight w:val="150"/>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4380" w:type="dxa"/>
            <w:vAlign w:val="bottom"/>
            <w:tcBorders>
              <w:top w:val="single" w:sz="8" w:color="0000FF"/>
              <w:bottom w:val="single" w:sz="8" w:color="0000FF"/>
            </w:tcBorders>
            <w:gridSpan w:val="7"/>
            <w:shd w:val="clear" w:color="auto" w:fill="CCEEFF"/>
          </w:tcPr>
          <w:p>
            <w:pPr>
              <w:spacing w:after="0" w:line="127"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Company,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 and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Refreshments USA, Inc.</w:t>
              </w:r>
            </w:hyperlink>
          </w:p>
        </w:tc>
        <w:tc>
          <w:tcPr>
            <w:tcW w:w="1440" w:type="dxa"/>
            <w:vAlign w:val="bottom"/>
            <w:tcBorders>
              <w:top w:val="single" w:sz="8" w:color="0000FF"/>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3800" w:type="dxa"/>
            <w:vAlign w:val="bottom"/>
            <w:tcBorders>
              <w:top w:val="single" w:sz="8" w:color="CCEEFF"/>
              <w:bottom w:val="single" w:sz="8" w:color="CCEEFF"/>
            </w:tcBorders>
            <w:shd w:val="clear" w:color="auto" w:fill="CCEEFF"/>
          </w:tcPr>
          <w:p>
            <w:pPr>
              <w:ind w:left="80"/>
              <w:spacing w:after="0" w:line="127" w:lineRule="exact"/>
              <w:rPr>
                <w:sz w:val="20"/>
                <w:szCs w:val="20"/>
                <w:color w:val="auto"/>
              </w:rPr>
            </w:pPr>
            <w:r>
              <w:rPr>
                <w:rFonts w:ascii="Times New Roman" w:cs="Times New Roman" w:eastAsia="Times New Roman" w:hAnsi="Times New Roman"/>
                <w:sz w:val="14"/>
                <w:szCs w:val="14"/>
                <w:color w:val="auto"/>
              </w:rPr>
              <w:t>for the quarter ended July 1, 2018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10.25**</w:t>
            </w:r>
          </w:p>
        </w:tc>
        <w:tc>
          <w:tcPr>
            <w:tcW w:w="6240" w:type="dxa"/>
            <w:vAlign w:val="bottom"/>
            <w:gridSpan w:val="22"/>
          </w:tcPr>
          <w:p>
            <w:pPr>
              <w:spacing w:after="0" w:line="138"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Fifth Amendment to Comprehensive Beverage Agreement, dated August 20, 2018, by and between the</w:t>
              </w:r>
            </w:hyperlink>
          </w:p>
        </w:tc>
        <w:tc>
          <w:tcPr>
            <w:tcW w:w="380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Exhibit 10.5 to the Company’s Quarterly Report on Form 10-Q</w:t>
            </w:r>
          </w:p>
        </w:tc>
      </w:tr>
      <w:tr>
        <w:trPr>
          <w:trHeight w:val="127"/>
        </w:trPr>
        <w:tc>
          <w:tcPr>
            <w:tcW w:w="1240" w:type="dxa"/>
            <w:vAlign w:val="bottom"/>
          </w:tcPr>
          <w:p>
            <w:pPr>
              <w:spacing w:after="0"/>
              <w:rPr>
                <w:sz w:val="11"/>
                <w:szCs w:val="11"/>
                <w:color w:val="auto"/>
              </w:rPr>
            </w:pPr>
          </w:p>
        </w:tc>
        <w:tc>
          <w:tcPr>
            <w:tcW w:w="5840" w:type="dxa"/>
            <w:vAlign w:val="bottom"/>
            <w:tcBorders>
              <w:top w:val="single" w:sz="8" w:color="0000FF"/>
            </w:tcBorders>
            <w:gridSpan w:val="14"/>
          </w:tcPr>
          <w:p>
            <w:pPr>
              <w:spacing w:after="0" w:line="127"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Company,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 and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Refreshments USA, Inc.</w:t>
              </w:r>
            </w:hyperlink>
          </w:p>
        </w:tc>
        <w:tc>
          <w:tcPr>
            <w:tcW w:w="140" w:type="dxa"/>
            <w:vAlign w:val="bottom"/>
          </w:tcPr>
          <w:p>
            <w:pPr>
              <w:spacing w:after="0"/>
              <w:rPr>
                <w:sz w:val="11"/>
                <w:szCs w:val="11"/>
                <w:color w:val="auto"/>
              </w:rPr>
            </w:pPr>
          </w:p>
        </w:tc>
        <w:tc>
          <w:tcPr>
            <w:tcW w:w="260" w:type="dxa"/>
            <w:vAlign w:val="bottom"/>
            <w:gridSpan w:val="7"/>
          </w:tcPr>
          <w:p>
            <w:pPr>
              <w:spacing w:after="0"/>
              <w:rPr>
                <w:sz w:val="11"/>
                <w:szCs w:val="11"/>
                <w:color w:val="auto"/>
              </w:rPr>
            </w:pPr>
          </w:p>
        </w:tc>
        <w:tc>
          <w:tcPr>
            <w:tcW w:w="3800" w:type="dxa"/>
            <w:vAlign w:val="bottom"/>
          </w:tcPr>
          <w:p>
            <w:pPr>
              <w:ind w:left="80"/>
              <w:spacing w:after="0" w:line="127" w:lineRule="exact"/>
              <w:rPr>
                <w:sz w:val="20"/>
                <w:szCs w:val="20"/>
                <w:color w:val="auto"/>
              </w:rPr>
            </w:pPr>
            <w:r>
              <w:rPr>
                <w:rFonts w:ascii="Times New Roman" w:cs="Times New Roman" w:eastAsia="Times New Roman" w:hAnsi="Times New Roman"/>
                <w:sz w:val="14"/>
                <w:szCs w:val="14"/>
                <w:color w:val="auto"/>
              </w:rPr>
              <w:t>for the quarter ended September 30, 2018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10.26***</w:t>
            </w:r>
          </w:p>
        </w:tc>
        <w:tc>
          <w:tcPr>
            <w:tcW w:w="6240" w:type="dxa"/>
            <w:vAlign w:val="bottom"/>
            <w:gridSpan w:val="22"/>
            <w:shd w:val="clear" w:color="auto" w:fill="CCEEFF"/>
          </w:tcPr>
          <w:p>
            <w:pPr>
              <w:spacing w:after="0" w:line="138"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Sixth Amendment to Comprehensive Beverage Agreement, dated September 9, 2019, by and between the</w:t>
              </w:r>
            </w:hyperlink>
          </w:p>
        </w:tc>
        <w:tc>
          <w:tcPr>
            <w:tcW w:w="380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Exhibit 10.3 to the Company’s Quarterly Report on Form 10-Q</w:t>
            </w:r>
          </w:p>
        </w:tc>
      </w:tr>
      <w:tr>
        <w:trPr>
          <w:trHeight w:val="150"/>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4380" w:type="dxa"/>
            <w:vAlign w:val="bottom"/>
            <w:tcBorders>
              <w:top w:val="single" w:sz="8" w:color="0000FF"/>
              <w:bottom w:val="single" w:sz="8" w:color="0000FF"/>
            </w:tcBorders>
            <w:gridSpan w:val="7"/>
            <w:shd w:val="clear" w:color="auto" w:fill="CCEEFF"/>
          </w:tcPr>
          <w:p>
            <w:pPr>
              <w:spacing w:after="0" w:line="127"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Company,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 and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Refreshments USA, Inc.</w:t>
              </w:r>
            </w:hyperlink>
          </w:p>
        </w:tc>
        <w:tc>
          <w:tcPr>
            <w:tcW w:w="1600" w:type="dxa"/>
            <w:vAlign w:val="bottom"/>
            <w:tcBorders>
              <w:top w:val="single" w:sz="8" w:color="0000FF"/>
              <w:bottom w:val="single" w:sz="8" w:color="CCEEFF"/>
            </w:tcBorders>
            <w:gridSpan w:val="8"/>
            <w:shd w:val="clear" w:color="auto" w:fill="CCEEFF"/>
          </w:tcPr>
          <w:p>
            <w:pPr>
              <w:spacing w:after="0"/>
              <w:rPr>
                <w:sz w:val="13"/>
                <w:szCs w:val="13"/>
                <w:color w:val="auto"/>
              </w:rPr>
            </w:pPr>
          </w:p>
        </w:tc>
        <w:tc>
          <w:tcPr>
            <w:tcW w:w="26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3800" w:type="dxa"/>
            <w:vAlign w:val="bottom"/>
            <w:tcBorders>
              <w:top w:val="single" w:sz="8" w:color="CCEEFF"/>
              <w:bottom w:val="single" w:sz="8" w:color="CCEEFF"/>
            </w:tcBorders>
            <w:shd w:val="clear" w:color="auto" w:fill="CCEEFF"/>
          </w:tcPr>
          <w:p>
            <w:pPr>
              <w:ind w:left="80"/>
              <w:spacing w:after="0" w:line="127" w:lineRule="exact"/>
              <w:rPr>
                <w:sz w:val="20"/>
                <w:szCs w:val="20"/>
                <w:color w:val="auto"/>
              </w:rPr>
            </w:pPr>
            <w:r>
              <w:rPr>
                <w:rFonts w:ascii="Times New Roman" w:cs="Times New Roman" w:eastAsia="Times New Roman" w:hAnsi="Times New Roman"/>
                <w:sz w:val="14"/>
                <w:szCs w:val="14"/>
                <w:color w:val="auto"/>
              </w:rPr>
              <w:t>for the quarter ended September 29, 2019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583"/>
        </w:trPr>
        <w:tc>
          <w:tcPr>
            <w:tcW w:w="1240" w:type="dxa"/>
            <w:vAlign w:val="bottom"/>
          </w:tcPr>
          <w:p>
            <w:pPr>
              <w:spacing w:after="0"/>
              <w:rPr>
                <w:sz w:val="24"/>
                <w:szCs w:val="24"/>
                <w:color w:val="auto"/>
              </w:rPr>
            </w:pPr>
          </w:p>
        </w:tc>
        <w:tc>
          <w:tcPr>
            <w:tcW w:w="5220" w:type="dxa"/>
            <w:vAlign w:val="bottom"/>
            <w:gridSpan w:val="8"/>
          </w:tcPr>
          <w:p>
            <w:pPr>
              <w:ind w:left="4340"/>
              <w:spacing w:after="0"/>
              <w:rPr>
                <w:sz w:val="20"/>
                <w:szCs w:val="20"/>
                <w:color w:val="auto"/>
              </w:rPr>
            </w:pPr>
            <w:r>
              <w:rPr>
                <w:rFonts w:ascii="Times New Roman" w:cs="Times New Roman" w:eastAsia="Times New Roman" w:hAnsi="Times New Roman"/>
                <w:sz w:val="14"/>
                <w:szCs w:val="14"/>
                <w:color w:val="auto"/>
              </w:rPr>
              <w:t>82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7"/>
        </w:trPr>
        <w:tc>
          <w:tcPr>
            <w:tcW w:w="1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80" w:type="dxa"/>
            <w:vAlign w:val="bottom"/>
            <w:gridSpan w:val="16"/>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Incorporated by Reference or</w:t>
            </w:r>
          </w:p>
        </w:tc>
        <w:tc>
          <w:tcPr>
            <w:tcW w:w="0" w:type="dxa"/>
            <w:vAlign w:val="bottom"/>
          </w:tcPr>
          <w:p>
            <w:pPr>
              <w:spacing w:after="0"/>
              <w:rPr>
                <w:sz w:val="1"/>
                <w:szCs w:val="1"/>
                <w:color w:val="auto"/>
              </w:rPr>
            </w:pPr>
          </w:p>
        </w:tc>
      </w:tr>
      <w:tr>
        <w:trPr>
          <w:trHeight w:val="191"/>
        </w:trPr>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980" w:type="dxa"/>
            <w:vAlign w:val="bottom"/>
            <w:gridSpan w:val="16"/>
            <w:vMerge w:val="continue"/>
          </w:tcPr>
          <w:p>
            <w:pPr>
              <w:spacing w:after="0"/>
              <w:rPr>
                <w:sz w:val="16"/>
                <w:szCs w:val="16"/>
                <w:color w:val="auto"/>
              </w:rPr>
            </w:pPr>
          </w:p>
        </w:tc>
        <w:tc>
          <w:tcPr>
            <w:tcW w:w="37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Filed/Furnished Herewith</w:t>
            </w:r>
          </w:p>
        </w:tc>
        <w:tc>
          <w:tcPr>
            <w:tcW w:w="0" w:type="dxa"/>
            <w:vAlign w:val="bottom"/>
          </w:tcPr>
          <w:p>
            <w:pPr>
              <w:spacing w:after="0"/>
              <w:rPr>
                <w:sz w:val="1"/>
                <w:szCs w:val="1"/>
                <w:color w:val="auto"/>
              </w:rPr>
            </w:pPr>
          </w:p>
        </w:tc>
      </w:tr>
      <w:tr>
        <w:trPr>
          <w:trHeight w:val="130"/>
        </w:trPr>
        <w:tc>
          <w:tcPr>
            <w:tcW w:w="114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1"/>
                <w:szCs w:val="11"/>
                <w:color w:val="auto"/>
              </w:rPr>
            </w:pPr>
          </w:p>
        </w:tc>
        <w:tc>
          <w:tcPr>
            <w:tcW w:w="6200" w:type="dxa"/>
            <w:vAlign w:val="bottom"/>
            <w:tcBorders>
              <w:top w:val="single" w:sz="8" w:color="auto"/>
            </w:tcBorders>
            <w:gridSpan w:val="21"/>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Second Amendment to Comprehensive Beverage Agreement, dated December 31, 2021, by and between</w:t>
              </w:r>
            </w:hyperlink>
          </w:p>
        </w:tc>
        <w:tc>
          <w:tcPr>
            <w:tcW w:w="100" w:type="dxa"/>
            <w:vAlign w:val="bottom"/>
          </w:tcPr>
          <w:p>
            <w:pPr>
              <w:spacing w:after="0"/>
              <w:rPr>
                <w:sz w:val="11"/>
                <w:szCs w:val="11"/>
                <w:color w:val="auto"/>
              </w:rPr>
            </w:pPr>
          </w:p>
        </w:tc>
        <w:tc>
          <w:tcPr>
            <w:tcW w:w="374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Exhibit 10.30 to the Company’s Annual Report on Form 10-K</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940" w:type="dxa"/>
            <w:vAlign w:val="bottom"/>
            <w:tcBorders>
              <w:top w:val="single" w:sz="8" w:color="0000FF"/>
            </w:tcBorders>
            <w:gridSpan w:val="18"/>
          </w:tcPr>
          <w:p>
            <w:pPr>
              <w:spacing w:after="0" w:line="127"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CCBCC Operations, LLC, a wholly owned subsidiary of the Company, and The Coca-Cola Company.</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37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31, 2021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CEEFF"/>
          </w:tcPr>
          <w:p>
            <w:pPr>
              <w:spacing w:after="0"/>
              <w:rPr>
                <w:sz w:val="12"/>
                <w:szCs w:val="12"/>
                <w:color w:val="auto"/>
              </w:rPr>
            </w:pPr>
          </w:p>
        </w:tc>
        <w:tc>
          <w:tcPr>
            <w:tcW w:w="6300" w:type="dxa"/>
            <w:vAlign w:val="bottom"/>
            <w:gridSpan w:val="22"/>
            <w:shd w:val="clear" w:color="auto" w:fill="CCEEFF"/>
          </w:tcPr>
          <w:p>
            <w:pPr>
              <w:spacing w:after="0" w:line="138"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Regional Manufacturing Agreement, dated March 31, 2017, by and between the Company and</w:t>
              </w:r>
            </w:hyperlink>
          </w:p>
        </w:tc>
        <w:tc>
          <w:tcPr>
            <w:tcW w:w="37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10.7 to the Company’s Quarterly Report on Form 10-Q</w:t>
            </w:r>
          </w:p>
        </w:tc>
        <w:tc>
          <w:tcPr>
            <w:tcW w:w="0" w:type="dxa"/>
            <w:vAlign w:val="bottom"/>
          </w:tcPr>
          <w:p>
            <w:pPr>
              <w:spacing w:after="0"/>
              <w:rPr>
                <w:sz w:val="1"/>
                <w:szCs w:val="1"/>
                <w:color w:val="auto"/>
              </w:rPr>
            </w:pPr>
          </w:p>
        </w:tc>
      </w:tr>
      <w:tr>
        <w:trPr>
          <w:trHeight w:val="127"/>
        </w:trPr>
        <w:tc>
          <w:tcPr>
            <w:tcW w:w="1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360" w:type="dxa"/>
            <w:vAlign w:val="bottom"/>
            <w:tcBorders>
              <w:top w:val="single" w:sz="8" w:color="0000FF"/>
            </w:tcBorders>
            <w:gridSpan w:val="8"/>
            <w:shd w:val="clear" w:color="auto" w:fill="CCEEFF"/>
          </w:tcPr>
          <w:p>
            <w:pPr>
              <w:spacing w:after="0" w:line="127"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w:t>
              </w:r>
            </w:hyperlink>
          </w:p>
        </w:tc>
        <w:tc>
          <w:tcPr>
            <w:tcW w:w="2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gridSpan w:val="2"/>
            <w:shd w:val="clear" w:color="auto" w:fill="CCEEFF"/>
          </w:tcPr>
          <w:p>
            <w:pPr>
              <w:spacing w:after="0"/>
              <w:rPr>
                <w:sz w:val="11"/>
                <w:szCs w:val="11"/>
                <w:color w:val="auto"/>
              </w:rPr>
            </w:pPr>
          </w:p>
        </w:tc>
        <w:tc>
          <w:tcPr>
            <w:tcW w:w="3740" w:type="dxa"/>
            <w:vAlign w:val="bottom"/>
            <w:tcBorders>
              <w:top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for the quarter ended April 2,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22"/>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2"/>
                <w:szCs w:val="12"/>
                <w:color w:val="auto"/>
              </w:rPr>
            </w:pPr>
          </w:p>
        </w:tc>
        <w:tc>
          <w:tcPr>
            <w:tcW w:w="6300" w:type="dxa"/>
            <w:vAlign w:val="bottom"/>
            <w:gridSpan w:val="22"/>
          </w:tcPr>
          <w:p>
            <w:pPr>
              <w:spacing w:after="0" w:line="138"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First Amendment to Regional Manufacturing Agreement, dated April 28, 2017, by and between the</w:t>
              </w:r>
            </w:hyperlink>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10.2 to the Company’s Quarterly Report on Form 10-Q</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60" w:type="dxa"/>
            <w:vAlign w:val="bottom"/>
            <w:tcBorders>
              <w:top w:val="single" w:sz="8" w:color="0000FF"/>
            </w:tcBorders>
            <w:gridSpan w:val="11"/>
          </w:tcPr>
          <w:p>
            <w:pPr>
              <w:spacing w:after="0" w:line="127"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Company and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w:t>
              </w:r>
            </w:hyperlink>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37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for the quarter ended July 2,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2"/>
                <w:szCs w:val="12"/>
                <w:color w:val="auto"/>
              </w:rPr>
            </w:pPr>
          </w:p>
        </w:tc>
        <w:tc>
          <w:tcPr>
            <w:tcW w:w="6300" w:type="dxa"/>
            <w:vAlign w:val="bottom"/>
            <w:gridSpan w:val="22"/>
            <w:shd w:val="clear" w:color="auto" w:fill="CCEEFF"/>
          </w:tcPr>
          <w:p>
            <w:pPr>
              <w:spacing w:after="0" w:line="138"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Second Amendment to Regional Manufacturing Agreement, dated October 2, 2017, by and between the</w:t>
              </w:r>
            </w:hyperlink>
          </w:p>
        </w:tc>
        <w:tc>
          <w:tcPr>
            <w:tcW w:w="37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10.73 to the Company’s Annual Report on Form 10-K</w:t>
            </w:r>
          </w:p>
        </w:tc>
        <w:tc>
          <w:tcPr>
            <w:tcW w:w="0" w:type="dxa"/>
            <w:vAlign w:val="bottom"/>
          </w:tcPr>
          <w:p>
            <w:pPr>
              <w:spacing w:after="0"/>
              <w:rPr>
                <w:sz w:val="1"/>
                <w:szCs w:val="1"/>
                <w:color w:val="auto"/>
              </w:rPr>
            </w:pPr>
          </w:p>
        </w:tc>
      </w:tr>
      <w:tr>
        <w:trPr>
          <w:trHeight w:val="150"/>
        </w:trPr>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320" w:type="dxa"/>
            <w:vAlign w:val="bottom"/>
            <w:tcBorders>
              <w:top w:val="single" w:sz="8" w:color="0000FF"/>
              <w:bottom w:val="single" w:sz="8" w:color="0000FF"/>
            </w:tcBorders>
            <w:gridSpan w:val="6"/>
            <w:shd w:val="clear" w:color="auto" w:fill="CCEEFF"/>
          </w:tcPr>
          <w:p>
            <w:pPr>
              <w:spacing w:after="0" w:line="127"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Company and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w:t>
              </w:r>
            </w:hyperlink>
          </w:p>
        </w:tc>
        <w:tc>
          <w:tcPr>
            <w:tcW w:w="3560" w:type="dxa"/>
            <w:vAlign w:val="bottom"/>
            <w:tcBorders>
              <w:top w:val="single" w:sz="8" w:color="0000FF"/>
              <w:bottom w:val="single" w:sz="8" w:color="CCEEFF"/>
            </w:tcBorders>
            <w:gridSpan w:val="10"/>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740" w:type="dxa"/>
            <w:vAlign w:val="bottom"/>
            <w:tcBorders>
              <w:top w:val="single" w:sz="8" w:color="CCEEFF"/>
              <w:bottom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31, 2017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2"/>
                <w:szCs w:val="12"/>
                <w:color w:val="auto"/>
              </w:rPr>
            </w:pPr>
          </w:p>
        </w:tc>
        <w:tc>
          <w:tcPr>
            <w:tcW w:w="6300" w:type="dxa"/>
            <w:vAlign w:val="bottom"/>
            <w:gridSpan w:val="22"/>
          </w:tcPr>
          <w:p>
            <w:pPr>
              <w:spacing w:after="0" w:line="138"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Amended and Restated Stock Rights and Restrictions Agreement, dated February 19, 2009, by and among</w:t>
              </w:r>
            </w:hyperlink>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20" w:type="dxa"/>
            <w:vAlign w:val="bottom"/>
            <w:tcBorders>
              <w:top w:val="single" w:sz="8" w:color="0000FF"/>
            </w:tcBorders>
            <w:gridSpan w:val="20"/>
          </w:tcPr>
          <w:p>
            <w:pPr>
              <w:spacing w:after="0" w:line="127"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the Company, The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Company, Carolina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 Investments, Inc. and J. Frank</w:t>
              </w:r>
            </w:hyperlink>
          </w:p>
        </w:tc>
        <w:tc>
          <w:tcPr>
            <w:tcW w:w="280" w:type="dxa"/>
            <w:vAlign w:val="bottom"/>
            <w:gridSpan w:val="2"/>
          </w:tcPr>
          <w:p>
            <w:pPr>
              <w:spacing w:after="0"/>
              <w:rPr>
                <w:sz w:val="11"/>
                <w:szCs w:val="11"/>
                <w:color w:val="auto"/>
              </w:rPr>
            </w:pPr>
          </w:p>
        </w:tc>
        <w:tc>
          <w:tcPr>
            <w:tcW w:w="37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on February 19, 2009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Harrison, III.</w:t>
              </w:r>
            </w:hyperlink>
          </w:p>
        </w:tc>
        <w:tc>
          <w:tcPr>
            <w:tcW w:w="4940" w:type="dxa"/>
            <w:vAlign w:val="bottom"/>
            <w:tcBorders>
              <w:top w:val="single" w:sz="8" w:color="0000FF"/>
            </w:tcBorders>
            <w:gridSpan w:val="10"/>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320" w:type="dxa"/>
            <w:vAlign w:val="bottom"/>
            <w:gridSpan w:val="3"/>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10.32</w:t>
            </w:r>
          </w:p>
        </w:tc>
        <w:tc>
          <w:tcPr>
            <w:tcW w:w="100" w:type="dxa"/>
            <w:vAlign w:val="bottom"/>
            <w:shd w:val="clear" w:color="auto" w:fill="CCEEFF"/>
          </w:tcPr>
          <w:p>
            <w:pPr>
              <w:spacing w:after="0"/>
              <w:rPr>
                <w:sz w:val="12"/>
                <w:szCs w:val="12"/>
                <w:color w:val="auto"/>
              </w:rPr>
            </w:pPr>
          </w:p>
        </w:tc>
        <w:tc>
          <w:tcPr>
            <w:tcW w:w="6300" w:type="dxa"/>
            <w:vAlign w:val="bottom"/>
            <w:gridSpan w:val="22"/>
            <w:shd w:val="clear" w:color="auto" w:fill="CCEEFF"/>
          </w:tcPr>
          <w:p>
            <w:pPr>
              <w:spacing w:after="0" w:line="144"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Lease Agreement, dated as of March 23, 2009, by and between the Company and Harrison Limited</w:t>
              </w:r>
            </w:hyperlink>
          </w:p>
        </w:tc>
        <w:tc>
          <w:tcPr>
            <w:tcW w:w="37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150"/>
        </w:trPr>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0000FF"/>
              <w:bottom w:val="single" w:sz="8" w:color="0000FF"/>
            </w:tcBorders>
            <w:gridSpan w:val="3"/>
            <w:shd w:val="clear" w:color="auto" w:fill="CCEEFF"/>
          </w:tcPr>
          <w:p>
            <w:pPr>
              <w:spacing w:after="0" w:line="127" w:lineRule="exact"/>
              <w:rPr>
                <w:rFonts w:ascii="Times New Roman" w:cs="Times New Roman" w:eastAsia="Times New Roman" w:hAnsi="Times New Roman"/>
                <w:sz w:val="14"/>
                <w:szCs w:val="14"/>
                <w:color w:val="0000FF"/>
                <w:w w:val="99"/>
              </w:rPr>
            </w:pPr>
            <w:hyperlink r:id="rId171">
              <w:r>
                <w:rPr>
                  <w:rFonts w:ascii="Times New Roman" w:cs="Times New Roman" w:eastAsia="Times New Roman" w:hAnsi="Times New Roman"/>
                  <w:sz w:val="14"/>
                  <w:szCs w:val="14"/>
                  <w:color w:val="0000FF"/>
                  <w:w w:val="99"/>
                </w:rPr>
                <w:t>Partnership One.</w:t>
              </w:r>
            </w:hyperlink>
          </w:p>
        </w:tc>
        <w:tc>
          <w:tcPr>
            <w:tcW w:w="4660" w:type="dxa"/>
            <w:vAlign w:val="bottom"/>
            <w:tcBorders>
              <w:top w:val="single" w:sz="8" w:color="0000FF"/>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2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3740" w:type="dxa"/>
            <w:vAlign w:val="bottom"/>
            <w:tcBorders>
              <w:top w:val="single" w:sz="8" w:color="CCEEFF"/>
              <w:bottom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on March 26, 2009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10.33</w:t>
            </w:r>
          </w:p>
        </w:tc>
        <w:tc>
          <w:tcPr>
            <w:tcW w:w="100" w:type="dxa"/>
            <w:vAlign w:val="bottom"/>
          </w:tcPr>
          <w:p>
            <w:pPr>
              <w:spacing w:after="0"/>
              <w:rPr>
                <w:sz w:val="12"/>
                <w:szCs w:val="12"/>
                <w:color w:val="auto"/>
              </w:rPr>
            </w:pPr>
          </w:p>
        </w:tc>
        <w:tc>
          <w:tcPr>
            <w:tcW w:w="6300" w:type="dxa"/>
            <w:vAlign w:val="bottom"/>
            <w:gridSpan w:val="22"/>
          </w:tcPr>
          <w:p>
            <w:pPr>
              <w:spacing w:after="0" w:line="138"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First Amendment to Lease Agreement, dated as of June 30, 2020, between the Company and Harrison</w:t>
              </w:r>
            </w:hyperlink>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0" w:type="dxa"/>
            <w:vAlign w:val="bottom"/>
            <w:tcBorders>
              <w:top w:val="single" w:sz="8" w:color="0000FF"/>
            </w:tcBorders>
            <w:gridSpan w:val="14"/>
          </w:tcPr>
          <w:p>
            <w:pPr>
              <w:spacing w:after="0" w:line="127"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Limited Partnership One.</w:t>
              </w:r>
            </w:hyperlink>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320" w:type="dxa"/>
            <w:vAlign w:val="bottom"/>
            <w:gridSpan w:val="3"/>
          </w:tcPr>
          <w:p>
            <w:pPr>
              <w:spacing w:after="0"/>
              <w:rPr>
                <w:sz w:val="11"/>
                <w:szCs w:val="11"/>
                <w:color w:val="auto"/>
              </w:rPr>
            </w:pPr>
          </w:p>
        </w:tc>
        <w:tc>
          <w:tcPr>
            <w:tcW w:w="37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on July 7, 2020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12"/>
                <w:szCs w:val="12"/>
                <w:color w:val="auto"/>
              </w:rPr>
            </w:pPr>
          </w:p>
        </w:tc>
        <w:tc>
          <w:tcPr>
            <w:tcW w:w="630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Purchase and Sale Agreement, dated as of March 17, 2022, by and between CCBCC Operations, LLC, a</w:t>
              </w:r>
            </w:hyperlink>
          </w:p>
        </w:tc>
        <w:tc>
          <w:tcPr>
            <w:tcW w:w="3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118"/>
        </w:trPr>
        <w:tc>
          <w:tcPr>
            <w:tcW w:w="1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920" w:type="dxa"/>
            <w:vAlign w:val="bottom"/>
            <w:tcBorders>
              <w:top w:val="single" w:sz="8" w:color="0000FF"/>
            </w:tcBorders>
            <w:gridSpan w:val="17"/>
            <w:shd w:val="clear" w:color="auto" w:fill="CCEEFF"/>
          </w:tcPr>
          <w:p>
            <w:pPr>
              <w:spacing w:after="0" w:line="118"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wholly owned subsidiary of the Company, and Harrison Limited Partnership One.</w:t>
              </w:r>
            </w:hyperlink>
          </w:p>
        </w:tc>
        <w:tc>
          <w:tcPr>
            <w:tcW w:w="60" w:type="dxa"/>
            <w:vAlign w:val="bottom"/>
            <w:tcBorders>
              <w:top w:val="single" w:sz="8" w:color="CCEEFF"/>
            </w:tcBorders>
            <w:gridSpan w:val="2"/>
            <w:shd w:val="clear" w:color="auto" w:fill="CCEEFF"/>
          </w:tcPr>
          <w:p>
            <w:pPr>
              <w:spacing w:after="0"/>
              <w:rPr>
                <w:sz w:val="10"/>
                <w:szCs w:val="10"/>
                <w:color w:val="auto"/>
              </w:rPr>
            </w:pPr>
          </w:p>
        </w:tc>
        <w:tc>
          <w:tcPr>
            <w:tcW w:w="320" w:type="dxa"/>
            <w:vAlign w:val="bottom"/>
            <w:tcBorders>
              <w:top w:val="single" w:sz="8" w:color="CCEEFF"/>
            </w:tcBorders>
            <w:gridSpan w:val="3"/>
            <w:shd w:val="clear" w:color="auto" w:fill="CCEEFF"/>
          </w:tcPr>
          <w:p>
            <w:pPr>
              <w:spacing w:after="0"/>
              <w:rPr>
                <w:sz w:val="10"/>
                <w:szCs w:val="10"/>
                <w:color w:val="auto"/>
              </w:rPr>
            </w:pPr>
          </w:p>
        </w:tc>
        <w:tc>
          <w:tcPr>
            <w:tcW w:w="374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on March 23, 2022 (File No. 0-9286).</w:t>
            </w:r>
          </w:p>
        </w:tc>
        <w:tc>
          <w:tcPr>
            <w:tcW w:w="0" w:type="dxa"/>
            <w:vAlign w:val="bottom"/>
          </w:tcPr>
          <w:p>
            <w:pPr>
              <w:spacing w:after="0"/>
              <w:rPr>
                <w:sz w:val="1"/>
                <w:szCs w:val="1"/>
                <w:color w:val="auto"/>
              </w:rPr>
            </w:pPr>
          </w:p>
        </w:tc>
      </w:tr>
      <w:tr>
        <w:trPr>
          <w:trHeight w:val="22"/>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2"/>
                <w:szCs w:val="12"/>
                <w:color w:val="auto"/>
              </w:rPr>
            </w:pPr>
          </w:p>
        </w:tc>
        <w:tc>
          <w:tcPr>
            <w:tcW w:w="6300" w:type="dxa"/>
            <w:vAlign w:val="bottom"/>
            <w:gridSpan w:val="22"/>
          </w:tcPr>
          <w:p>
            <w:pPr>
              <w:spacing w:after="0" w:line="138"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Lease Agreement, dated December 30, 2019, by and between the Company and Beacon Investment</w:t>
              </w:r>
            </w:hyperlink>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40" w:type="dxa"/>
            <w:vAlign w:val="bottom"/>
            <w:tcBorders>
              <w:top w:val="single" w:sz="8" w:color="0000FF"/>
            </w:tcBorders>
            <w:gridSpan w:val="10"/>
          </w:tcPr>
          <w:p>
            <w:pPr>
              <w:spacing w:after="0" w:line="127"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Corporation.</w:t>
              </w:r>
            </w:hyperlink>
          </w:p>
        </w:tc>
        <w:tc>
          <w:tcPr>
            <w:tcW w:w="200" w:type="dxa"/>
            <w:vAlign w:val="bottom"/>
            <w:gridSpan w:val="5"/>
          </w:tcPr>
          <w:p>
            <w:pPr>
              <w:spacing w:after="0"/>
              <w:rPr>
                <w:sz w:val="11"/>
                <w:szCs w:val="11"/>
                <w:color w:val="auto"/>
              </w:rPr>
            </w:pPr>
          </w:p>
        </w:tc>
        <w:tc>
          <w:tcPr>
            <w:tcW w:w="140" w:type="dxa"/>
            <w:vAlign w:val="bottom"/>
            <w:gridSpan w:val="4"/>
          </w:tcPr>
          <w:p>
            <w:pPr>
              <w:spacing w:after="0"/>
              <w:rPr>
                <w:sz w:val="11"/>
                <w:szCs w:val="11"/>
                <w:color w:val="auto"/>
              </w:rPr>
            </w:pPr>
          </w:p>
        </w:tc>
        <w:tc>
          <w:tcPr>
            <w:tcW w:w="320" w:type="dxa"/>
            <w:vAlign w:val="bottom"/>
            <w:gridSpan w:val="3"/>
          </w:tcPr>
          <w:p>
            <w:pPr>
              <w:spacing w:after="0"/>
              <w:rPr>
                <w:sz w:val="11"/>
                <w:szCs w:val="11"/>
                <w:color w:val="auto"/>
              </w:rPr>
            </w:pPr>
          </w:p>
        </w:tc>
        <w:tc>
          <w:tcPr>
            <w:tcW w:w="37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on January 3, 2020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120" w:type="dxa"/>
            <w:vAlign w:val="bottom"/>
            <w:gridSpan w:val="1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Pr>
          <w:p>
            <w:pPr>
              <w:spacing w:after="0"/>
              <w:rPr>
                <w:sz w:val="14"/>
                <w:szCs w:val="14"/>
                <w:color w:val="auto"/>
              </w:rPr>
            </w:pPr>
          </w:p>
        </w:tc>
        <w:tc>
          <w:tcPr>
            <w:tcW w:w="6300" w:type="dxa"/>
            <w:vAlign w:val="bottom"/>
            <w:gridSpan w:val="22"/>
          </w:tcPr>
          <w:p>
            <w:pPr>
              <w:spacing w:after="0" w:line="161"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Amended and Restated Limited Liability Company Operating Agreement of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Bottlers’ Sales &amp;</w:t>
              </w:r>
            </w:hyperlink>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10.40 to the Company’s Annual Report on Form 10-K</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40" w:type="dxa"/>
            <w:vAlign w:val="bottom"/>
            <w:tcBorders>
              <w:top w:val="single" w:sz="8" w:color="0000FF"/>
              <w:bottom w:val="single" w:sz="8" w:color="0000FF"/>
            </w:tcBorders>
            <w:gridSpan w:val="15"/>
          </w:tcPr>
          <w:p>
            <w:pPr>
              <w:spacing w:after="0" w:line="127"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Services Company LLC, made as of November 18, 2019, by and between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Bottlers’ Sales &amp;</w:t>
              </w:r>
            </w:hyperlink>
          </w:p>
        </w:tc>
        <w:tc>
          <w:tcPr>
            <w:tcW w:w="140" w:type="dxa"/>
            <w:vAlign w:val="bottom"/>
            <w:tcBorders>
              <w:top w:val="single" w:sz="8" w:color="0000FF"/>
            </w:tcBorders>
            <w:gridSpan w:val="4"/>
          </w:tcPr>
          <w:p>
            <w:pPr>
              <w:spacing w:after="0"/>
              <w:rPr>
                <w:sz w:val="11"/>
                <w:szCs w:val="11"/>
                <w:color w:val="auto"/>
              </w:rPr>
            </w:pPr>
          </w:p>
        </w:tc>
        <w:tc>
          <w:tcPr>
            <w:tcW w:w="320" w:type="dxa"/>
            <w:vAlign w:val="bottom"/>
            <w:gridSpan w:val="3"/>
          </w:tcPr>
          <w:p>
            <w:pPr>
              <w:spacing w:after="0"/>
              <w:rPr>
                <w:sz w:val="11"/>
                <w:szCs w:val="11"/>
                <w:color w:val="auto"/>
              </w:rPr>
            </w:pPr>
          </w:p>
        </w:tc>
        <w:tc>
          <w:tcPr>
            <w:tcW w:w="37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29, 2019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296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7161530" cy="296545"/>
                    </a:xfrm>
                    <a:prstGeom prst="rect">
                      <a:avLst/>
                    </a:prstGeom>
                    <a:noFill/>
                  </pic:spPr>
                </pic:pic>
              </a:graphicData>
            </a:graphic>
          </wp:anchor>
        </w:drawing>
      </w:r>
    </w:p>
    <w:p>
      <w:pPr>
        <w:ind w:left="1240"/>
        <w:spacing w:after="0"/>
        <w:rPr>
          <w:rFonts w:ascii="Times New Roman" w:cs="Times New Roman" w:eastAsia="Times New Roman" w:hAnsi="Times New Roman"/>
          <w:sz w:val="14"/>
          <w:szCs w:val="14"/>
          <w:u w:val="single" w:color="auto"/>
          <w:color w:val="0000FF"/>
        </w:rPr>
      </w:pPr>
      <w:hyperlink r:id="rId175">
        <w:r>
          <w:rPr>
            <w:rFonts w:ascii="Times New Roman" w:cs="Times New Roman" w:eastAsia="Times New Roman" w:hAnsi="Times New Roman"/>
            <w:sz w:val="14"/>
            <w:szCs w:val="14"/>
            <w:u w:val="single" w:color="auto"/>
            <w:color w:val="0000FF"/>
          </w:rPr>
          <w:t>Services Company LLC and Consolidated Beverage Co., a wholly owned subsidiary of the Company.</w:t>
        </w:r>
      </w:hyperlink>
    </w:p>
    <w:p>
      <w:pPr>
        <w:sectPr>
          <w:pgSz w:w="11900" w:h="16838" w:orient="portrait"/>
          <w:cols w:equalWidth="0" w:num="1">
            <w:col w:w="11280"/>
          </w:cols>
          <w:pgMar w:left="300" w:top="647" w:right="319" w:bottom="1440" w:gutter="0" w:footer="0" w:header="0"/>
        </w:sectPr>
      </w:pPr>
    </w:p>
    <w:tbl>
      <w:tblPr>
        <w:tblLayout w:type="fixed"/>
        <w:tblInd w:w="20" w:type="dxa"/>
        <w:tblCellMar>
          <w:top w:w="0" w:type="dxa"/>
          <w:left w:w="0" w:type="dxa"/>
          <w:bottom w:w="0" w:type="dxa"/>
          <w:right w:w="0" w:type="dxa"/>
        </w:tblCellMar>
      </w:tblPr>
      <w:tr>
        <w:trPr>
          <w:trHeight w:val="157"/>
        </w:trPr>
        <w:tc>
          <w:tcPr>
            <w:tcW w:w="1220" w:type="dxa"/>
            <w:vAlign w:val="bottom"/>
          </w:tcPr>
          <w:p>
            <w:pPr>
              <w:jc w:val="right"/>
              <w:ind w:right="829"/>
              <w:spacing w:after="0" w:line="157" w:lineRule="exact"/>
              <w:rPr>
                <w:sz w:val="20"/>
                <w:szCs w:val="20"/>
                <w:color w:val="auto"/>
              </w:rPr>
            </w:pPr>
            <w:r>
              <w:rPr>
                <w:rFonts w:ascii="Times New Roman" w:cs="Times New Roman" w:eastAsia="Times New Roman" w:hAnsi="Times New Roman"/>
                <w:sz w:val="14"/>
                <w:szCs w:val="14"/>
                <w:color w:val="auto"/>
                <w:w w:val="95"/>
              </w:rPr>
              <w:t>10.37</w:t>
            </w:r>
          </w:p>
        </w:tc>
        <w:tc>
          <w:tcPr>
            <w:tcW w:w="5840" w:type="dxa"/>
            <w:vAlign w:val="bottom"/>
            <w:tcBorders>
              <w:bottom w:val="single" w:sz="8" w:color="0000FF"/>
            </w:tcBorders>
          </w:tcPr>
          <w:p>
            <w:pPr>
              <w:spacing w:after="0" w:line="157"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Stockholder Conversion Agreement, dated as of March 17, 2022, by and among the Company, the JFH</w:t>
              </w:r>
            </w:hyperlink>
          </w:p>
        </w:tc>
        <w:tc>
          <w:tcPr>
            <w:tcW w:w="280" w:type="dxa"/>
            <w:vAlign w:val="bottom"/>
          </w:tcPr>
          <w:p>
            <w:pPr>
              <w:spacing w:after="0"/>
              <w:rPr>
                <w:sz w:val="13"/>
                <w:szCs w:val="13"/>
                <w:color w:val="auto"/>
              </w:rPr>
            </w:pPr>
          </w:p>
        </w:tc>
      </w:tr>
      <w:tr>
        <w:trPr>
          <w:trHeight w:val="118"/>
        </w:trPr>
        <w:tc>
          <w:tcPr>
            <w:tcW w:w="1220" w:type="dxa"/>
            <w:vAlign w:val="bottom"/>
          </w:tcPr>
          <w:p>
            <w:pPr>
              <w:spacing w:after="0"/>
              <w:rPr>
                <w:sz w:val="10"/>
                <w:szCs w:val="10"/>
                <w:color w:val="auto"/>
              </w:rPr>
            </w:pPr>
          </w:p>
        </w:tc>
        <w:tc>
          <w:tcPr>
            <w:tcW w:w="6120" w:type="dxa"/>
            <w:vAlign w:val="bottom"/>
            <w:tcBorders>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77">
              <w:r>
                <w:rPr>
                  <w:rFonts w:ascii="Times New Roman" w:cs="Times New Roman" w:eastAsia="Times New Roman" w:hAnsi="Times New Roman"/>
                  <w:sz w:val="13"/>
                  <w:szCs w:val="13"/>
                  <w:color w:val="0000FF"/>
                </w:rPr>
                <w:t>Family Limited Partnership—SW1, the Anne Lupton Carter Trust f/b/o Sue Anne H. Wells, the JFH Family</w:t>
              </w:r>
            </w:hyperlink>
          </w:p>
        </w:tc>
      </w:tr>
    </w:tbl>
    <w:p>
      <w:pPr>
        <w:jc w:val="center"/>
        <w:ind w:left="180"/>
        <w:spacing w:after="0"/>
        <w:rPr>
          <w:rFonts w:ascii="Times New Roman" w:cs="Times New Roman" w:eastAsia="Times New Roman" w:hAnsi="Times New Roman"/>
          <w:sz w:val="14"/>
          <w:szCs w:val="14"/>
          <w:u w:val="single" w:color="auto"/>
          <w:color w:val="0000FF"/>
        </w:rPr>
      </w:pPr>
      <w:hyperlink r:id="rId177">
        <w:r>
          <w:rPr>
            <w:rFonts w:ascii="Times New Roman" w:cs="Times New Roman" w:eastAsia="Times New Roman" w:hAnsi="Times New Roman"/>
            <w:sz w:val="14"/>
            <w:szCs w:val="14"/>
            <w:u w:val="single" w:color="auto"/>
            <w:color w:val="0000FF"/>
          </w:rPr>
          <w:t>Limited Partnership—DH1 and the Anne Lupton Carter Trust f/b/o Deborah S. Harrison.</w:t>
        </w:r>
      </w:hyperlink>
    </w:p>
    <w:p>
      <w:pPr>
        <w:spacing w:after="0" w:line="20" w:lineRule="exact"/>
        <w:rPr>
          <w:sz w:val="20"/>
          <w:szCs w:val="20"/>
          <w:color w:val="auto"/>
        </w:rPr>
      </w:pPr>
      <w:r>
        <w:rPr>
          <w:sz w:val="20"/>
          <w:szCs w:val="20"/>
          <w:color w:val="auto"/>
        </w:rPr>
        <w:br w:type="column"/>
      </w:r>
    </w:p>
    <w:p>
      <w:pPr>
        <w:ind w:right="40"/>
        <w:spacing w:after="0" w:line="237" w:lineRule="auto"/>
        <w:rPr>
          <w:sz w:val="20"/>
          <w:szCs w:val="20"/>
          <w:color w:val="auto"/>
        </w:rPr>
      </w:pPr>
      <w:r>
        <w:rPr>
          <w:rFonts w:ascii="Times New Roman" w:cs="Times New Roman" w:eastAsia="Times New Roman" w:hAnsi="Times New Roman"/>
          <w:sz w:val="14"/>
          <w:szCs w:val="14"/>
          <w:color w:val="auto"/>
        </w:rPr>
        <w:t>Exhibit 10.2 to the Company’s Current Report on Form 8-K filed on March 23, 2022 (File No. 0-9286).</w:t>
      </w:r>
    </w:p>
    <w:p>
      <w:pPr>
        <w:spacing w:after="0" w:line="141" w:lineRule="exact"/>
        <w:rPr>
          <w:sz w:val="20"/>
          <w:szCs w:val="20"/>
          <w:color w:val="auto"/>
        </w:rPr>
      </w:pPr>
    </w:p>
    <w:p>
      <w:pPr>
        <w:sectPr>
          <w:pgSz w:w="11900" w:h="16838" w:orient="portrait"/>
          <w:cols w:equalWidth="0" w:num="2">
            <w:col w:w="7360" w:space="200"/>
            <w:col w:w="3720"/>
          </w:cols>
          <w:pgMar w:left="300" w:top="647" w:right="31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1240" w:type="dxa"/>
            <w:vAlign w:val="bottom"/>
            <w:shd w:val="clear" w:color="auto" w:fill="CCEEFF"/>
          </w:tcPr>
          <w:p>
            <w:pPr>
              <w:jc w:val="right"/>
              <w:ind w:right="769"/>
              <w:spacing w:after="0" w:line="147" w:lineRule="exact"/>
              <w:rPr>
                <w:sz w:val="20"/>
                <w:szCs w:val="20"/>
                <w:color w:val="auto"/>
              </w:rPr>
            </w:pPr>
            <w:r>
              <w:rPr>
                <w:rFonts w:ascii="Times New Roman" w:cs="Times New Roman" w:eastAsia="Times New Roman" w:hAnsi="Times New Roman"/>
                <w:sz w:val="14"/>
                <w:szCs w:val="14"/>
                <w:color w:val="auto"/>
                <w:w w:val="98"/>
              </w:rPr>
              <w:t>10.38*</w:t>
            </w:r>
          </w:p>
        </w:tc>
        <w:tc>
          <w:tcPr>
            <w:tcW w:w="6220" w:type="dxa"/>
            <w:vAlign w:val="bottom"/>
            <w:gridSpan w:val="13"/>
            <w:shd w:val="clear" w:color="auto" w:fill="CCEEFF"/>
          </w:tcPr>
          <w:p>
            <w:pPr>
              <w:spacing w:after="0" w:line="147"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(formerly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 Co. Consolidated) Annual Bonus Plan,</w:t>
              </w:r>
            </w:hyperlink>
          </w:p>
        </w:tc>
        <w:tc>
          <w:tcPr>
            <w:tcW w:w="382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Exhibit 10.41 to the Company’s Annual Report on Form 10-K</w:t>
            </w:r>
          </w:p>
        </w:tc>
      </w:tr>
      <w:tr>
        <w:trPr>
          <w:trHeight w:val="150"/>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3040" w:type="dxa"/>
            <w:vAlign w:val="bottom"/>
            <w:tcBorders>
              <w:top w:val="single" w:sz="8" w:color="0000FF"/>
              <w:bottom w:val="single" w:sz="8" w:color="0000FF"/>
            </w:tcBorders>
            <w:gridSpan w:val="2"/>
            <w:shd w:val="clear" w:color="auto" w:fill="CCEEFF"/>
          </w:tcPr>
          <w:p>
            <w:pPr>
              <w:spacing w:after="0" w:line="127"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amended and restated effective as of January 1, 2018.</w:t>
              </w:r>
            </w:hyperlink>
          </w:p>
        </w:tc>
        <w:tc>
          <w:tcPr>
            <w:tcW w:w="260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20" w:type="dxa"/>
            <w:vAlign w:val="bottom"/>
            <w:tcBorders>
              <w:top w:val="single" w:sz="8" w:color="CCEEFF"/>
              <w:bottom w:val="single" w:sz="8" w:color="CCEEFF"/>
            </w:tcBorders>
            <w:shd w:val="clear" w:color="auto" w:fill="CCEEFF"/>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29, 2019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49"/>
        </w:trPr>
        <w:tc>
          <w:tcPr>
            <w:tcW w:w="1240" w:type="dxa"/>
            <w:vAlign w:val="bottom"/>
          </w:tcPr>
          <w:p>
            <w:pPr>
              <w:jc w:val="right"/>
              <w:ind w:right="769"/>
              <w:spacing w:after="0" w:line="149" w:lineRule="exact"/>
              <w:rPr>
                <w:sz w:val="20"/>
                <w:szCs w:val="20"/>
                <w:color w:val="auto"/>
              </w:rPr>
            </w:pPr>
            <w:r>
              <w:rPr>
                <w:rFonts w:ascii="Times New Roman" w:cs="Times New Roman" w:eastAsia="Times New Roman" w:hAnsi="Times New Roman"/>
                <w:sz w:val="14"/>
                <w:szCs w:val="14"/>
                <w:color w:val="auto"/>
                <w:w w:val="98"/>
              </w:rPr>
              <w:t>10.39*</w:t>
            </w:r>
          </w:p>
        </w:tc>
        <w:tc>
          <w:tcPr>
            <w:tcW w:w="6220" w:type="dxa"/>
            <w:vAlign w:val="bottom"/>
            <w:gridSpan w:val="13"/>
          </w:tcPr>
          <w:p>
            <w:pPr>
              <w:spacing w:after="0" w:line="14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Amendment No. 2, dated February 22, 2021, to Coca-Cola Consolidated, Inc.(formerly Coca-Cola Bottling</w:t>
              </w:r>
            </w:hyperlink>
          </w:p>
        </w:tc>
        <w:tc>
          <w:tcPr>
            <w:tcW w:w="3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Exhibit 10.1 to the Company’s Quarterly Report on Form 10-Q</w:t>
            </w:r>
          </w:p>
        </w:tc>
      </w:tr>
      <w:tr>
        <w:trPr>
          <w:trHeight w:val="118"/>
        </w:trPr>
        <w:tc>
          <w:tcPr>
            <w:tcW w:w="1240" w:type="dxa"/>
            <w:vAlign w:val="bottom"/>
          </w:tcPr>
          <w:p>
            <w:pPr>
              <w:spacing w:after="0"/>
              <w:rPr>
                <w:sz w:val="10"/>
                <w:szCs w:val="10"/>
                <w:color w:val="auto"/>
              </w:rPr>
            </w:pPr>
          </w:p>
        </w:tc>
        <w:tc>
          <w:tcPr>
            <w:tcW w:w="608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79">
              <w:r>
                <w:rPr>
                  <w:rFonts w:ascii="Times New Roman" w:cs="Times New Roman" w:eastAsia="Times New Roman" w:hAnsi="Times New Roman"/>
                  <w:sz w:val="13"/>
                  <w:szCs w:val="13"/>
                  <w:color w:val="0000FF"/>
                </w:rPr>
                <w:t>Co. Consolidated) Annual Bonus Plan, amended and restated effective as of January 1, 2018.</w:t>
              </w:r>
            </w:hyperlink>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color w:val="auto"/>
              </w:rPr>
              <w:t>for the quarter ended April 2, 2021 (File No. 0-9286).</w:t>
            </w:r>
          </w:p>
        </w:tc>
      </w:tr>
      <w:tr>
        <w:trPr>
          <w:trHeight w:val="22"/>
        </w:trPr>
        <w:tc>
          <w:tcPr>
            <w:tcW w:w="12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7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jc w:val="right"/>
              <w:ind w:right="769"/>
              <w:spacing w:after="0" w:line="138" w:lineRule="exact"/>
              <w:rPr>
                <w:sz w:val="20"/>
                <w:szCs w:val="20"/>
                <w:color w:val="auto"/>
              </w:rPr>
            </w:pPr>
            <w:r>
              <w:rPr>
                <w:rFonts w:ascii="Times New Roman" w:cs="Times New Roman" w:eastAsia="Times New Roman" w:hAnsi="Times New Roman"/>
                <w:sz w:val="14"/>
                <w:szCs w:val="14"/>
                <w:color w:val="auto"/>
                <w:w w:val="98"/>
              </w:rPr>
              <w:t>10.40*</w:t>
            </w:r>
          </w:p>
        </w:tc>
        <w:tc>
          <w:tcPr>
            <w:tcW w:w="6220" w:type="dxa"/>
            <w:vAlign w:val="bottom"/>
            <w:gridSpan w:val="13"/>
            <w:shd w:val="clear" w:color="auto" w:fill="CCEEFF"/>
          </w:tcPr>
          <w:p>
            <w:pPr>
              <w:spacing w:after="0" w:line="138"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(formerly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 Co. Consolidated) Long-Term Performance</w:t>
              </w:r>
            </w:hyperlink>
          </w:p>
        </w:tc>
        <w:tc>
          <w:tcPr>
            <w:tcW w:w="38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10.42 to the Company’s Annual Report on Form 10-K</w:t>
            </w:r>
          </w:p>
        </w:tc>
      </w:tr>
      <w:tr>
        <w:trPr>
          <w:trHeight w:val="127"/>
        </w:trPr>
        <w:tc>
          <w:tcPr>
            <w:tcW w:w="1240" w:type="dxa"/>
            <w:vAlign w:val="bottom"/>
            <w:tcBorders>
              <w:top w:val="single" w:sz="8" w:color="CCEEFF"/>
            </w:tcBorders>
            <w:shd w:val="clear" w:color="auto" w:fill="CCEEFF"/>
          </w:tcPr>
          <w:p>
            <w:pPr>
              <w:spacing w:after="0"/>
              <w:rPr>
                <w:sz w:val="11"/>
                <w:szCs w:val="11"/>
                <w:color w:val="auto"/>
              </w:rPr>
            </w:pPr>
          </w:p>
        </w:tc>
        <w:tc>
          <w:tcPr>
            <w:tcW w:w="5920" w:type="dxa"/>
            <w:vAlign w:val="bottom"/>
            <w:tcBorders>
              <w:top w:val="single" w:sz="8" w:color="0000FF"/>
            </w:tcBorders>
            <w:gridSpan w:val="10"/>
            <w:shd w:val="clear" w:color="auto" w:fill="CCEEFF"/>
          </w:tcPr>
          <w:p>
            <w:pPr>
              <w:spacing w:after="0" w:line="127"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Plan, amended and restated effective as of January 1, 2018.</w:t>
              </w:r>
            </w:hyperlink>
          </w:p>
        </w:tc>
        <w:tc>
          <w:tcPr>
            <w:tcW w:w="20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20" w:type="dxa"/>
            <w:vAlign w:val="bottom"/>
            <w:tcBorders>
              <w:top w:val="single" w:sz="8" w:color="CCEEFF"/>
            </w:tcBorders>
            <w:shd w:val="clear" w:color="auto" w:fill="CCEEFF"/>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29, 2019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7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r>
      <w:tr>
        <w:trPr>
          <w:trHeight w:val="139"/>
        </w:trPr>
        <w:tc>
          <w:tcPr>
            <w:tcW w:w="1240" w:type="dxa"/>
            <w:vAlign w:val="bottom"/>
          </w:tcPr>
          <w:p>
            <w:pPr>
              <w:jc w:val="right"/>
              <w:ind w:right="769"/>
              <w:spacing w:after="0" w:line="138" w:lineRule="exact"/>
              <w:rPr>
                <w:sz w:val="20"/>
                <w:szCs w:val="20"/>
                <w:color w:val="auto"/>
              </w:rPr>
            </w:pPr>
            <w:r>
              <w:rPr>
                <w:rFonts w:ascii="Times New Roman" w:cs="Times New Roman" w:eastAsia="Times New Roman" w:hAnsi="Times New Roman"/>
                <w:sz w:val="14"/>
                <w:szCs w:val="14"/>
                <w:color w:val="auto"/>
                <w:w w:val="98"/>
              </w:rPr>
              <w:t>10.41*</w:t>
            </w:r>
          </w:p>
        </w:tc>
        <w:tc>
          <w:tcPr>
            <w:tcW w:w="6220" w:type="dxa"/>
            <w:vAlign w:val="bottom"/>
            <w:gridSpan w:val="13"/>
          </w:tcPr>
          <w:p>
            <w:pPr>
              <w:spacing w:after="0" w:line="138"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Form of Long-Term Performance Plan Bonus Award Agreement.</w:t>
              </w:r>
            </w:hyperlink>
          </w:p>
        </w:tc>
        <w:tc>
          <w:tcPr>
            <w:tcW w:w="38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10.2 to the Company’s Quarterly Report on Form 10-Q</w:t>
            </w:r>
          </w:p>
        </w:tc>
      </w:tr>
      <w:tr>
        <w:trPr>
          <w:trHeight w:val="170"/>
        </w:trPr>
        <w:tc>
          <w:tcPr>
            <w:tcW w:w="124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7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for the quarter ended July 4, 2010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39"/>
        </w:trPr>
        <w:tc>
          <w:tcPr>
            <w:tcW w:w="1240" w:type="dxa"/>
            <w:vAlign w:val="bottom"/>
            <w:shd w:val="clear" w:color="auto" w:fill="CCEEFF"/>
          </w:tcPr>
          <w:p>
            <w:pPr>
              <w:jc w:val="right"/>
              <w:ind w:right="769"/>
              <w:spacing w:after="0" w:line="138" w:lineRule="exact"/>
              <w:rPr>
                <w:sz w:val="20"/>
                <w:szCs w:val="20"/>
                <w:color w:val="auto"/>
              </w:rPr>
            </w:pPr>
            <w:r>
              <w:rPr>
                <w:rFonts w:ascii="Times New Roman" w:cs="Times New Roman" w:eastAsia="Times New Roman" w:hAnsi="Times New Roman"/>
                <w:sz w:val="14"/>
                <w:szCs w:val="14"/>
                <w:color w:val="auto"/>
                <w:w w:val="98"/>
              </w:rPr>
              <w:t>10.42*</w:t>
            </w:r>
          </w:p>
        </w:tc>
        <w:tc>
          <w:tcPr>
            <w:tcW w:w="6220" w:type="dxa"/>
            <w:vAlign w:val="bottom"/>
            <w:gridSpan w:val="13"/>
            <w:shd w:val="clear" w:color="auto" w:fill="CCEEFF"/>
          </w:tcPr>
          <w:p>
            <w:pPr>
              <w:spacing w:after="0" w:line="138"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Coca-Cola Consolidated, Inc. (formerly Coca-Cola Bottling Co. Consolidated) Supplemental Savings</w:t>
              </w:r>
            </w:hyperlink>
          </w:p>
        </w:tc>
        <w:tc>
          <w:tcPr>
            <w:tcW w:w="38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10.31 to the Company’s Annual Report on Form 10-K</w:t>
            </w:r>
          </w:p>
        </w:tc>
      </w:tr>
      <w:tr>
        <w:trPr>
          <w:trHeight w:val="150"/>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4080" w:type="dxa"/>
            <w:vAlign w:val="bottom"/>
            <w:tcBorders>
              <w:top w:val="single" w:sz="8" w:color="0000FF"/>
              <w:bottom w:val="single" w:sz="8" w:color="0000FF"/>
            </w:tcBorders>
            <w:gridSpan w:val="5"/>
            <w:shd w:val="clear" w:color="auto" w:fill="CCEEFF"/>
          </w:tcPr>
          <w:p>
            <w:pPr>
              <w:spacing w:after="0" w:line="127"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Incentive Plan, amended and restated effective as of November 1, 2011.</w:t>
              </w:r>
            </w:hyperlink>
          </w:p>
        </w:tc>
        <w:tc>
          <w:tcPr>
            <w:tcW w:w="168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20" w:type="dxa"/>
            <w:vAlign w:val="bottom"/>
            <w:tcBorders>
              <w:top w:val="single" w:sz="8" w:color="CCEEFF"/>
              <w:bottom w:val="single" w:sz="8" w:color="CCEEFF"/>
            </w:tcBorders>
            <w:shd w:val="clear" w:color="auto" w:fill="CCEEFF"/>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fiscal year ended January 1, 2012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39"/>
        </w:trPr>
        <w:tc>
          <w:tcPr>
            <w:tcW w:w="1240" w:type="dxa"/>
            <w:vAlign w:val="bottom"/>
          </w:tcPr>
          <w:p>
            <w:pPr>
              <w:jc w:val="right"/>
              <w:ind w:right="769"/>
              <w:spacing w:after="0" w:line="138" w:lineRule="exact"/>
              <w:rPr>
                <w:sz w:val="20"/>
                <w:szCs w:val="20"/>
                <w:color w:val="auto"/>
              </w:rPr>
            </w:pPr>
            <w:r>
              <w:rPr>
                <w:rFonts w:ascii="Times New Roman" w:cs="Times New Roman" w:eastAsia="Times New Roman" w:hAnsi="Times New Roman"/>
                <w:sz w:val="14"/>
                <w:szCs w:val="14"/>
                <w:color w:val="auto"/>
                <w:w w:val="98"/>
              </w:rPr>
              <w:t>10.43*</w:t>
            </w:r>
          </w:p>
        </w:tc>
        <w:tc>
          <w:tcPr>
            <w:tcW w:w="6220" w:type="dxa"/>
            <w:vAlign w:val="bottom"/>
            <w:gridSpan w:val="13"/>
          </w:tcPr>
          <w:p>
            <w:pPr>
              <w:spacing w:after="0" w:line="138"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Amendment No. 1, dated May 31, 2013, to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(formerly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 Co.</w:t>
              </w:r>
            </w:hyperlink>
          </w:p>
        </w:tc>
        <w:tc>
          <w:tcPr>
            <w:tcW w:w="38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10.56 to the Company’s Annual Report on Form 10-K</w:t>
            </w:r>
          </w:p>
        </w:tc>
      </w:tr>
      <w:tr>
        <w:trPr>
          <w:trHeight w:val="127"/>
        </w:trPr>
        <w:tc>
          <w:tcPr>
            <w:tcW w:w="1240" w:type="dxa"/>
            <w:vAlign w:val="bottom"/>
          </w:tcPr>
          <w:p>
            <w:pPr>
              <w:spacing w:after="0"/>
              <w:rPr>
                <w:sz w:val="11"/>
                <w:szCs w:val="11"/>
                <w:color w:val="auto"/>
              </w:rPr>
            </w:pPr>
          </w:p>
        </w:tc>
        <w:tc>
          <w:tcPr>
            <w:tcW w:w="6120" w:type="dxa"/>
            <w:vAlign w:val="bottom"/>
            <w:tcBorders>
              <w:top w:val="single" w:sz="8" w:color="0000FF"/>
            </w:tcBorders>
            <w:gridSpan w:val="12"/>
          </w:tcPr>
          <w:p>
            <w:pPr>
              <w:spacing w:after="0" w:line="127"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Consolidated) Supplemental Savings Incentive Plan, amended and restated effective as of November 1,</w:t>
              </w:r>
            </w:hyperlink>
          </w:p>
        </w:tc>
        <w:tc>
          <w:tcPr>
            <w:tcW w:w="100" w:type="dxa"/>
            <w:vAlign w:val="bottom"/>
          </w:tcPr>
          <w:p>
            <w:pPr>
              <w:spacing w:after="0"/>
              <w:rPr>
                <w:sz w:val="11"/>
                <w:szCs w:val="11"/>
                <w:color w:val="auto"/>
              </w:rPr>
            </w:pPr>
          </w:p>
        </w:tc>
        <w:tc>
          <w:tcPr>
            <w:tcW w:w="3820" w:type="dxa"/>
            <w:vAlign w:val="bottom"/>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30, 2018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29"/>
        </w:trPr>
        <w:tc>
          <w:tcPr>
            <w:tcW w:w="1240" w:type="dxa"/>
            <w:vAlign w:val="bottom"/>
          </w:tcPr>
          <w:p>
            <w:pPr>
              <w:spacing w:after="0"/>
              <w:rPr>
                <w:sz w:val="11"/>
                <w:szCs w:val="11"/>
                <w:color w:val="auto"/>
              </w:rPr>
            </w:pPr>
          </w:p>
        </w:tc>
        <w:tc>
          <w:tcPr>
            <w:tcW w:w="304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2011.</w:t>
              </w:r>
            </w:hyperlink>
          </w:p>
        </w:tc>
        <w:tc>
          <w:tcPr>
            <w:tcW w:w="3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12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Pr>
          <w:p>
            <w:pPr>
              <w:spacing w:after="0"/>
              <w:rPr>
                <w:sz w:val="11"/>
                <w:szCs w:val="11"/>
                <w:color w:val="auto"/>
              </w:rPr>
            </w:pPr>
          </w:p>
        </w:tc>
      </w:tr>
      <w:tr>
        <w:trPr>
          <w:trHeight w:val="595"/>
        </w:trPr>
        <w:tc>
          <w:tcPr>
            <w:tcW w:w="124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9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color w:val="auto"/>
              </w:rPr>
              <w:t>83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7"/>
        </w:trPr>
        <w:tc>
          <w:tcPr>
            <w:tcW w:w="1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7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3"/>
                <w:szCs w:val="13"/>
                <w:color w:val="auto"/>
              </w:rPr>
            </w:pPr>
          </w:p>
        </w:tc>
        <w:tc>
          <w:tcPr>
            <w:tcW w:w="5980" w:type="dxa"/>
            <w:vAlign w:val="bottom"/>
            <w:gridSpan w:val="4"/>
            <w:vMerge w:val="restart"/>
          </w:tcPr>
          <w:p>
            <w:pPr>
              <w:ind w:left="2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or</w:t>
            </w:r>
          </w:p>
        </w:tc>
        <w:tc>
          <w:tcPr>
            <w:tcW w:w="0" w:type="dxa"/>
            <w:vAlign w:val="bottom"/>
          </w:tcPr>
          <w:p>
            <w:pPr>
              <w:spacing w:after="0"/>
              <w:rPr>
                <w:sz w:val="1"/>
                <w:szCs w:val="1"/>
                <w:color w:val="auto"/>
              </w:rPr>
            </w:pPr>
          </w:p>
        </w:tc>
      </w:tr>
      <w:tr>
        <w:trPr>
          <w:trHeight w:val="191"/>
        </w:trPr>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300" w:type="dxa"/>
            <w:vAlign w:val="bottom"/>
          </w:tcPr>
          <w:p>
            <w:pPr>
              <w:spacing w:after="0"/>
              <w:rPr>
                <w:sz w:val="16"/>
                <w:szCs w:val="16"/>
                <w:color w:val="auto"/>
              </w:rPr>
            </w:pPr>
          </w:p>
        </w:tc>
        <w:tc>
          <w:tcPr>
            <w:tcW w:w="5980" w:type="dxa"/>
            <w:vAlign w:val="bottom"/>
            <w:gridSpan w:val="4"/>
            <w:vMerge w:val="continue"/>
          </w:tcPr>
          <w:p>
            <w:pPr>
              <w:spacing w:after="0"/>
              <w:rPr>
                <w:sz w:val="16"/>
                <w:szCs w:val="16"/>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 Herewith</w:t>
            </w:r>
          </w:p>
        </w:tc>
        <w:tc>
          <w:tcPr>
            <w:tcW w:w="0" w:type="dxa"/>
            <w:vAlign w:val="bottom"/>
          </w:tcPr>
          <w:p>
            <w:pPr>
              <w:spacing w:after="0"/>
              <w:rPr>
                <w:sz w:val="1"/>
                <w:szCs w:val="1"/>
                <w:color w:val="auto"/>
              </w:rPr>
            </w:pPr>
          </w:p>
        </w:tc>
      </w:tr>
      <w:tr>
        <w:trPr>
          <w:trHeight w:val="139"/>
        </w:trPr>
        <w:tc>
          <w:tcPr>
            <w:tcW w:w="1140" w:type="dxa"/>
            <w:vAlign w:val="bottom"/>
            <w:tcBorders>
              <w:top w:val="single" w:sz="8" w:color="auto"/>
            </w:tcBorders>
            <w:shd w:val="clear" w:color="auto" w:fill="CCEEFF"/>
          </w:tcPr>
          <w:p>
            <w:pPr>
              <w:jc w:val="right"/>
              <w:ind w:right="669"/>
              <w:spacing w:after="0" w:line="139" w:lineRule="exact"/>
              <w:rPr>
                <w:sz w:val="20"/>
                <w:szCs w:val="20"/>
                <w:color w:val="auto"/>
              </w:rPr>
            </w:pPr>
            <w:r>
              <w:rPr>
                <w:rFonts w:ascii="Times New Roman" w:cs="Times New Roman" w:eastAsia="Times New Roman" w:hAnsi="Times New Roman"/>
                <w:sz w:val="14"/>
                <w:szCs w:val="14"/>
                <w:color w:val="auto"/>
                <w:w w:val="98"/>
              </w:rPr>
              <w:t>10.44*</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180" w:type="dxa"/>
            <w:vAlign w:val="bottom"/>
            <w:tcBorders>
              <w:top w:val="single" w:sz="8" w:color="auto"/>
            </w:tcBorders>
            <w:gridSpan w:val="4"/>
            <w:shd w:val="clear" w:color="auto" w:fill="CCEEFF"/>
          </w:tcPr>
          <w:p>
            <w:pPr>
              <w:spacing w:after="0" w:line="13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Amendment No. 3, dated February 22, 2021, to Coca-Cola Consolidated, Inc. (formerly Coca-Cola Bottling</w:t>
              </w:r>
            </w:hyperlink>
          </w:p>
        </w:tc>
        <w:tc>
          <w:tcPr>
            <w:tcW w:w="100" w:type="dxa"/>
            <w:vAlign w:val="bottom"/>
            <w:tcBorders>
              <w:top w:val="single" w:sz="8" w:color="CCEEFF"/>
            </w:tcBorders>
            <w:shd w:val="clear" w:color="auto" w:fill="CCEEFF"/>
          </w:tcPr>
          <w:p>
            <w:pPr>
              <w:spacing w:after="0"/>
              <w:rPr>
                <w:sz w:val="12"/>
                <w:szCs w:val="12"/>
                <w:color w:val="auto"/>
              </w:rPr>
            </w:pPr>
          </w:p>
        </w:tc>
        <w:tc>
          <w:tcPr>
            <w:tcW w:w="3740" w:type="dxa"/>
            <w:vAlign w:val="bottom"/>
            <w:tcBorders>
              <w:top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Exhibit 10.2 to the Company’s Quarterly Report on Form 10-Q</w:t>
            </w:r>
          </w:p>
        </w:tc>
        <w:tc>
          <w:tcPr>
            <w:tcW w:w="0" w:type="dxa"/>
            <w:vAlign w:val="bottom"/>
          </w:tcPr>
          <w:p>
            <w:pPr>
              <w:spacing w:after="0"/>
              <w:rPr>
                <w:sz w:val="1"/>
                <w:szCs w:val="1"/>
                <w:color w:val="auto"/>
              </w:rPr>
            </w:pPr>
          </w:p>
        </w:tc>
      </w:tr>
      <w:tr>
        <w:trPr>
          <w:trHeight w:val="118"/>
        </w:trPr>
        <w:tc>
          <w:tcPr>
            <w:tcW w:w="1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100" w:type="dxa"/>
            <w:vAlign w:val="bottom"/>
            <w:tcBorders>
              <w:top w:val="single" w:sz="8" w:color="0000FF"/>
            </w:tcBorders>
            <w:gridSpan w:val="3"/>
            <w:shd w:val="clear" w:color="auto" w:fill="CCEEFF"/>
          </w:tcPr>
          <w:p>
            <w:pPr>
              <w:spacing w:after="0" w:line="118" w:lineRule="exact"/>
              <w:rPr>
                <w:rFonts w:ascii="Times New Roman" w:cs="Times New Roman" w:eastAsia="Times New Roman" w:hAnsi="Times New Roman"/>
                <w:sz w:val="13"/>
                <w:szCs w:val="13"/>
                <w:color w:val="0000FF"/>
              </w:rPr>
            </w:pPr>
            <w:hyperlink r:id="rId186">
              <w:r>
                <w:rPr>
                  <w:rFonts w:ascii="Times New Roman" w:cs="Times New Roman" w:eastAsia="Times New Roman" w:hAnsi="Times New Roman"/>
                  <w:sz w:val="13"/>
                  <w:szCs w:val="13"/>
                  <w:color w:val="0000FF"/>
                </w:rPr>
                <w:t>Co. Consolidated) Supplemental Savings Incentive Plan, amended and restated effective as of November 1,</w:t>
              </w:r>
            </w:hyperlink>
          </w:p>
        </w:tc>
        <w:tc>
          <w:tcPr>
            <w:tcW w:w="180" w:type="dxa"/>
            <w:vAlign w:val="bottom"/>
            <w:tcBorders>
              <w:top w:val="single" w:sz="8" w:color="CCEEFF"/>
            </w:tcBorders>
            <w:gridSpan w:val="2"/>
            <w:shd w:val="clear" w:color="auto" w:fill="CCEEFF"/>
          </w:tcPr>
          <w:p>
            <w:pPr>
              <w:spacing w:after="0"/>
              <w:rPr>
                <w:sz w:val="10"/>
                <w:szCs w:val="10"/>
                <w:color w:val="auto"/>
              </w:rPr>
            </w:pPr>
          </w:p>
        </w:tc>
        <w:tc>
          <w:tcPr>
            <w:tcW w:w="374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for the quarter ended April 2, 2021 (File No. 0-9286).</w:t>
            </w:r>
          </w:p>
        </w:tc>
        <w:tc>
          <w:tcPr>
            <w:tcW w:w="0" w:type="dxa"/>
            <w:vAlign w:val="bottom"/>
          </w:tcPr>
          <w:p>
            <w:pPr>
              <w:spacing w:after="0"/>
              <w:rPr>
                <w:sz w:val="1"/>
                <w:szCs w:val="1"/>
                <w:color w:val="auto"/>
              </w:rPr>
            </w:pPr>
          </w:p>
        </w:tc>
      </w:tr>
      <w:tr>
        <w:trPr>
          <w:trHeight w:val="129"/>
        </w:trPr>
        <w:tc>
          <w:tcPr>
            <w:tcW w:w="1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6060" w:type="dxa"/>
            <w:vAlign w:val="bottom"/>
            <w:tcBorders>
              <w:top w:val="single" w:sz="8" w:color="0000FF"/>
            </w:tcBorders>
            <w:gridSpan w:val="2"/>
            <w:shd w:val="clear" w:color="auto" w:fill="CCEEFF"/>
          </w:tcPr>
          <w:p>
            <w:pPr>
              <w:spacing w:after="0" w:line="12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2011.</w:t>
              </w:r>
            </w:hyperlink>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7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1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647" w:right="319" w:bottom="1440" w:gutter="0" w:footer="0" w:header="0"/>
        </w:sectPr>
      </w:pPr>
    </w:p>
    <w:tbl>
      <w:tblPr>
        <w:tblLayout w:type="fixed"/>
        <w:tblInd w:w="20" w:type="dxa"/>
        <w:tblCellMar>
          <w:top w:w="0" w:type="dxa"/>
          <w:left w:w="0" w:type="dxa"/>
          <w:bottom w:w="0" w:type="dxa"/>
          <w:right w:w="0" w:type="dxa"/>
        </w:tblCellMar>
      </w:tblPr>
      <w:tr>
        <w:trPr>
          <w:trHeight w:val="149"/>
        </w:trPr>
        <w:tc>
          <w:tcPr>
            <w:tcW w:w="1220" w:type="dxa"/>
            <w:vAlign w:val="bottom"/>
          </w:tcPr>
          <w:p>
            <w:pPr>
              <w:jc w:val="right"/>
              <w:ind w:right="769"/>
              <w:spacing w:after="0" w:line="149" w:lineRule="exact"/>
              <w:rPr>
                <w:sz w:val="20"/>
                <w:szCs w:val="20"/>
                <w:color w:val="auto"/>
              </w:rPr>
            </w:pPr>
            <w:r>
              <w:rPr>
                <w:rFonts w:ascii="Times New Roman" w:cs="Times New Roman" w:eastAsia="Times New Roman" w:hAnsi="Times New Roman"/>
                <w:sz w:val="14"/>
                <w:szCs w:val="14"/>
                <w:color w:val="auto"/>
                <w:w w:val="93"/>
              </w:rPr>
              <w:t>10.45*</w:t>
            </w:r>
          </w:p>
        </w:tc>
        <w:tc>
          <w:tcPr>
            <w:tcW w:w="6140" w:type="dxa"/>
            <w:vAlign w:val="bottom"/>
            <w:gridSpan w:val="4"/>
          </w:tcPr>
          <w:p>
            <w:pPr>
              <w:spacing w:after="0" w:line="14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Amendment No. 4, dated February 21, 2022, to Coca-Cola Consolidated, Inc. (formerly Coca-Cola Bottling</w:t>
              </w:r>
            </w:hyperlink>
          </w:p>
        </w:tc>
      </w:tr>
      <w:tr>
        <w:trPr>
          <w:trHeight w:val="118"/>
        </w:trPr>
        <w:tc>
          <w:tcPr>
            <w:tcW w:w="1220" w:type="dxa"/>
            <w:vAlign w:val="bottom"/>
          </w:tcPr>
          <w:p>
            <w:pPr>
              <w:spacing w:after="0"/>
              <w:rPr>
                <w:sz w:val="10"/>
                <w:szCs w:val="10"/>
                <w:color w:val="auto"/>
              </w:rPr>
            </w:pPr>
          </w:p>
        </w:tc>
        <w:tc>
          <w:tcPr>
            <w:tcW w:w="6120" w:type="dxa"/>
            <w:vAlign w:val="bottom"/>
            <w:tcBorders>
              <w:top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87">
              <w:r>
                <w:rPr>
                  <w:rFonts w:ascii="Times New Roman" w:cs="Times New Roman" w:eastAsia="Times New Roman" w:hAnsi="Times New Roman"/>
                  <w:sz w:val="13"/>
                  <w:szCs w:val="13"/>
                  <w:color w:val="0000FF"/>
                </w:rPr>
                <w:t>Co. Consolidated) Supplemental Savings Incentive Plan, amended and restated effective as of November 1,</w:t>
              </w:r>
            </w:hyperlink>
          </w:p>
        </w:tc>
        <w:tc>
          <w:tcPr>
            <w:tcW w:w="20" w:type="dxa"/>
            <w:vAlign w:val="bottom"/>
          </w:tcPr>
          <w:p>
            <w:pPr>
              <w:spacing w:after="0"/>
              <w:rPr>
                <w:sz w:val="10"/>
                <w:szCs w:val="10"/>
                <w:color w:val="auto"/>
              </w:rPr>
            </w:pPr>
          </w:p>
        </w:tc>
      </w:tr>
      <w:tr>
        <w:trPr>
          <w:trHeight w:val="129"/>
        </w:trPr>
        <w:tc>
          <w:tcPr>
            <w:tcW w:w="122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5"/>
              </w:rPr>
            </w:pPr>
            <w:hyperlink r:id="rId187">
              <w:r>
                <w:rPr>
                  <w:rFonts w:ascii="Times New Roman" w:cs="Times New Roman" w:eastAsia="Times New Roman" w:hAnsi="Times New Roman"/>
                  <w:sz w:val="14"/>
                  <w:szCs w:val="14"/>
                  <w:color w:val="0000FF"/>
                  <w:w w:val="95"/>
                </w:rPr>
                <w:t>2011.</w:t>
              </w:r>
            </w:hyperlink>
          </w:p>
        </w:tc>
        <w:tc>
          <w:tcPr>
            <w:tcW w:w="57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ind w:right="160"/>
        <w:spacing w:after="0" w:line="146" w:lineRule="exact"/>
        <w:rPr>
          <w:sz w:val="20"/>
          <w:szCs w:val="20"/>
          <w:color w:val="auto"/>
        </w:rPr>
      </w:pPr>
      <w:r>
        <w:rPr>
          <w:rFonts w:ascii="Times New Roman" w:cs="Times New Roman" w:eastAsia="Times New Roman" w:hAnsi="Times New Roman"/>
          <w:sz w:val="14"/>
          <w:szCs w:val="14"/>
          <w:color w:val="auto"/>
        </w:rPr>
        <w:t>Exhibit 10.2 to the Company’s Quarterly Report on Form 10-Q for the quarter ended April 1, 2022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p>
      <w:pPr>
        <w:spacing w:after="0" w:line="113" w:lineRule="exact"/>
        <w:rPr>
          <w:sz w:val="20"/>
          <w:szCs w:val="20"/>
          <w:color w:val="auto"/>
        </w:rPr>
      </w:pPr>
    </w:p>
    <w:p>
      <w:pPr>
        <w:sectPr>
          <w:pgSz w:w="11900" w:h="16838" w:orient="portrait"/>
          <w:cols w:equalWidth="0" w:num="2">
            <w:col w:w="7360" w:space="200"/>
            <w:col w:w="3720"/>
          </w:cols>
          <w:pgMar w:left="300" w:top="647" w:right="31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12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10.46*</w:t>
            </w:r>
          </w:p>
        </w:tc>
        <w:tc>
          <w:tcPr>
            <w:tcW w:w="6220" w:type="dxa"/>
            <w:vAlign w:val="bottom"/>
            <w:gridSpan w:val="26"/>
            <w:shd w:val="clear" w:color="auto" w:fill="CCEEFF"/>
          </w:tcPr>
          <w:p>
            <w:pPr>
              <w:spacing w:after="0" w:line="159"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(formerly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 Co. Consolidated) Director Deferral Plan,</w:t>
              </w:r>
            </w:hyperlink>
          </w:p>
        </w:tc>
        <w:tc>
          <w:tcPr>
            <w:tcW w:w="382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Exhibit 10.47 to the Company’s Annual Report on Form 10-K</w:t>
            </w:r>
          </w:p>
        </w:tc>
      </w:tr>
      <w:tr>
        <w:trPr>
          <w:trHeight w:val="150"/>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3040" w:type="dxa"/>
            <w:vAlign w:val="bottom"/>
            <w:tcBorders>
              <w:top w:val="single" w:sz="8" w:color="0000FF"/>
              <w:bottom w:val="single" w:sz="8" w:color="0000FF"/>
            </w:tcBorders>
            <w:gridSpan w:val="8"/>
            <w:shd w:val="clear" w:color="auto" w:fill="CCEEFF"/>
          </w:tcPr>
          <w:p>
            <w:pPr>
              <w:spacing w:after="0" w:line="127"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amended and restated effective as of January 1, 2014.</w:t>
              </w:r>
            </w:hyperlink>
          </w:p>
        </w:tc>
        <w:tc>
          <w:tcPr>
            <w:tcW w:w="276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20" w:type="dxa"/>
            <w:vAlign w:val="bottom"/>
            <w:tcBorders>
              <w:top w:val="single" w:sz="8" w:color="CCEEFF"/>
              <w:bottom w:val="single" w:sz="8" w:color="CCEEFF"/>
            </w:tcBorders>
            <w:shd w:val="clear" w:color="auto" w:fill="CCEEFF"/>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31, 2021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10.47*</w:t>
            </w:r>
          </w:p>
        </w:tc>
        <w:tc>
          <w:tcPr>
            <w:tcW w:w="5700" w:type="dxa"/>
            <w:vAlign w:val="bottom"/>
            <w:tcBorders>
              <w:bottom w:val="single" w:sz="8" w:color="0000FF"/>
            </w:tcBorders>
            <w:gridSpan w:val="12"/>
          </w:tcPr>
          <w:p>
            <w:pPr>
              <w:spacing w:after="0" w:line="138"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Amendment No. 1, dated December 10, 2013, to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(formerly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w:t>
              </w:r>
            </w:hyperlink>
          </w:p>
        </w:tc>
        <w:tc>
          <w:tcPr>
            <w:tcW w:w="520" w:type="dxa"/>
            <w:vAlign w:val="bottom"/>
            <w:gridSpan w:val="14"/>
          </w:tcPr>
          <w:p>
            <w:pPr>
              <w:spacing w:after="0"/>
              <w:rPr>
                <w:sz w:val="12"/>
                <w:szCs w:val="12"/>
                <w:color w:val="auto"/>
              </w:rPr>
            </w:pPr>
          </w:p>
        </w:tc>
        <w:tc>
          <w:tcPr>
            <w:tcW w:w="38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10.58 to the Company’s Annual Report on Form 10-K</w:t>
            </w:r>
          </w:p>
        </w:tc>
      </w:tr>
      <w:tr>
        <w:trPr>
          <w:trHeight w:val="127"/>
        </w:trPr>
        <w:tc>
          <w:tcPr>
            <w:tcW w:w="1240" w:type="dxa"/>
            <w:vAlign w:val="bottom"/>
          </w:tcPr>
          <w:p>
            <w:pPr>
              <w:spacing w:after="0"/>
              <w:rPr>
                <w:sz w:val="11"/>
                <w:szCs w:val="11"/>
                <w:color w:val="auto"/>
              </w:rPr>
            </w:pPr>
          </w:p>
        </w:tc>
        <w:tc>
          <w:tcPr>
            <w:tcW w:w="6220" w:type="dxa"/>
            <w:vAlign w:val="bottom"/>
            <w:gridSpan w:val="26"/>
          </w:tcPr>
          <w:p>
            <w:pPr>
              <w:spacing w:after="0" w:line="127"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Bottling Co. Consolidated) Director Deferral Plan, amended and restated effective as of January 1, 2014.</w:t>
              </w:r>
            </w:hyperlink>
          </w:p>
        </w:tc>
        <w:tc>
          <w:tcPr>
            <w:tcW w:w="3820" w:type="dxa"/>
            <w:vAlign w:val="bottom"/>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30, 2018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10.48*</w:t>
            </w:r>
          </w:p>
        </w:tc>
        <w:tc>
          <w:tcPr>
            <w:tcW w:w="6220" w:type="dxa"/>
            <w:vAlign w:val="bottom"/>
            <w:gridSpan w:val="26"/>
            <w:shd w:val="clear" w:color="auto" w:fill="CCEEFF"/>
          </w:tcPr>
          <w:p>
            <w:pPr>
              <w:spacing w:after="0" w:line="138"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(formerly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 Co. Consolidated) Officer Retention Plan,</w:t>
              </w:r>
            </w:hyperlink>
          </w:p>
        </w:tc>
        <w:tc>
          <w:tcPr>
            <w:tcW w:w="38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10.4 to the Company’s Quarterly Report on Form 10-Q</w:t>
            </w:r>
          </w:p>
        </w:tc>
      </w:tr>
      <w:tr>
        <w:trPr>
          <w:trHeight w:val="150"/>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3040" w:type="dxa"/>
            <w:vAlign w:val="bottom"/>
            <w:tcBorders>
              <w:top w:val="single" w:sz="8" w:color="0000FF"/>
              <w:bottom w:val="single" w:sz="8" w:color="0000FF"/>
            </w:tcBorders>
            <w:gridSpan w:val="8"/>
            <w:shd w:val="clear" w:color="auto" w:fill="CCEEFF"/>
          </w:tcPr>
          <w:p>
            <w:pPr>
              <w:spacing w:after="0" w:line="127"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amended and restated effective as of January 1, 2007.</w:t>
              </w:r>
            </w:hyperlink>
          </w:p>
        </w:tc>
        <w:tc>
          <w:tcPr>
            <w:tcW w:w="2780" w:type="dxa"/>
            <w:vAlign w:val="bottom"/>
            <w:tcBorders>
              <w:top w:val="single" w:sz="8" w:color="0000FF"/>
              <w:bottom w:val="single" w:sz="8" w:color="CCEEFF"/>
            </w:tcBorders>
            <w:gridSpan w:val="6"/>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20" w:type="dxa"/>
            <w:vAlign w:val="bottom"/>
            <w:tcBorders>
              <w:top w:val="single" w:sz="8" w:color="CCEEFF"/>
              <w:bottom w:val="single" w:sz="8" w:color="CCEEFF"/>
            </w:tcBorders>
            <w:shd w:val="clear" w:color="auto" w:fill="CCEEFF"/>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quarter ended April 1, 2007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10.49*</w:t>
            </w:r>
          </w:p>
        </w:tc>
        <w:tc>
          <w:tcPr>
            <w:tcW w:w="6220" w:type="dxa"/>
            <w:vAlign w:val="bottom"/>
            <w:gridSpan w:val="26"/>
          </w:tcPr>
          <w:p>
            <w:pPr>
              <w:spacing w:after="0" w:line="138"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Amendment No. 1, effective as of January 1, 2009, to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(formerly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w:t>
              </w:r>
            </w:hyperlink>
          </w:p>
        </w:tc>
        <w:tc>
          <w:tcPr>
            <w:tcW w:w="38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10.32 to the Company’s Annual Report on Form 10-K</w:t>
            </w:r>
          </w:p>
        </w:tc>
      </w:tr>
      <w:tr>
        <w:trPr>
          <w:trHeight w:val="127"/>
        </w:trPr>
        <w:tc>
          <w:tcPr>
            <w:tcW w:w="1240" w:type="dxa"/>
            <w:vAlign w:val="bottom"/>
          </w:tcPr>
          <w:p>
            <w:pPr>
              <w:spacing w:after="0"/>
              <w:rPr>
                <w:sz w:val="11"/>
                <w:szCs w:val="11"/>
                <w:color w:val="auto"/>
              </w:rPr>
            </w:pPr>
          </w:p>
        </w:tc>
        <w:tc>
          <w:tcPr>
            <w:tcW w:w="6020" w:type="dxa"/>
            <w:vAlign w:val="bottom"/>
            <w:tcBorders>
              <w:top w:val="single" w:sz="8" w:color="0000FF"/>
            </w:tcBorders>
            <w:gridSpan w:val="20"/>
          </w:tcPr>
          <w:p>
            <w:pPr>
              <w:spacing w:after="0" w:line="127"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Bottling Co. Consolidated) Officer Retention Plan, amended and restated effective as of January 1, 2007.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fiscal year ended December 28, 2008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10.50*</w:t>
            </w:r>
          </w:p>
        </w:tc>
        <w:tc>
          <w:tcPr>
            <w:tcW w:w="6220" w:type="dxa"/>
            <w:vAlign w:val="bottom"/>
            <w:gridSpan w:val="26"/>
            <w:shd w:val="clear" w:color="auto" w:fill="CCEEFF"/>
          </w:tcPr>
          <w:p>
            <w:pPr>
              <w:spacing w:after="0" w:line="138"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(formerly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 Co. Consolidated) Long-Term Retention Plan,</w:t>
              </w:r>
            </w:hyperlink>
          </w:p>
        </w:tc>
        <w:tc>
          <w:tcPr>
            <w:tcW w:w="38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10.1 to the Company’s Quarterly Report on Form 10-Q</w:t>
            </w:r>
          </w:p>
        </w:tc>
      </w:tr>
      <w:tr>
        <w:trPr>
          <w:trHeight w:val="150"/>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2200" w:type="dxa"/>
            <w:vAlign w:val="bottom"/>
            <w:tcBorders>
              <w:top w:val="single" w:sz="8" w:color="0000FF"/>
              <w:bottom w:val="single" w:sz="8" w:color="0000FF"/>
            </w:tcBorders>
            <w:gridSpan w:val="4"/>
            <w:shd w:val="clear" w:color="auto" w:fill="CCEEFF"/>
          </w:tcPr>
          <w:p>
            <w:pPr>
              <w:spacing w:after="0" w:line="127"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adopted effective as of March 5, 2014.</w:t>
              </w:r>
            </w:hyperlink>
          </w:p>
        </w:tc>
        <w:tc>
          <w:tcPr>
            <w:tcW w:w="3880" w:type="dxa"/>
            <w:vAlign w:val="bottom"/>
            <w:tcBorders>
              <w:top w:val="single" w:sz="8" w:color="0000FF"/>
              <w:bottom w:val="single" w:sz="8" w:color="CCEEFF"/>
            </w:tcBorders>
            <w:gridSpan w:val="19"/>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20" w:type="dxa"/>
            <w:vAlign w:val="bottom"/>
            <w:tcBorders>
              <w:top w:val="single" w:sz="8" w:color="CCEEFF"/>
              <w:bottom w:val="single" w:sz="8" w:color="CCEEFF"/>
            </w:tcBorders>
            <w:shd w:val="clear" w:color="auto" w:fill="CCEEFF"/>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quarter ended March 30, 2014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10.51*</w:t>
            </w:r>
          </w:p>
        </w:tc>
        <w:tc>
          <w:tcPr>
            <w:tcW w:w="6220" w:type="dxa"/>
            <w:vAlign w:val="bottom"/>
            <w:gridSpan w:val="26"/>
          </w:tcPr>
          <w:p>
            <w:pPr>
              <w:spacing w:after="0" w:line="138"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Amendment No. 2, dated February 21, 2022, to Coca-Cola Consolidated, Inc. (formerly Coca-Cola Bottling</w:t>
              </w:r>
            </w:hyperlink>
          </w:p>
        </w:tc>
        <w:tc>
          <w:tcPr>
            <w:tcW w:w="38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10.1 to the Company’s Quarterly Report on Form 10-Q</w:t>
            </w:r>
          </w:p>
        </w:tc>
      </w:tr>
      <w:tr>
        <w:trPr>
          <w:trHeight w:val="127"/>
        </w:trPr>
        <w:tc>
          <w:tcPr>
            <w:tcW w:w="1240" w:type="dxa"/>
            <w:vAlign w:val="bottom"/>
          </w:tcPr>
          <w:p>
            <w:pPr>
              <w:spacing w:after="0"/>
              <w:rPr>
                <w:sz w:val="11"/>
                <w:szCs w:val="11"/>
                <w:color w:val="auto"/>
              </w:rPr>
            </w:pPr>
          </w:p>
        </w:tc>
        <w:tc>
          <w:tcPr>
            <w:tcW w:w="6120" w:type="dxa"/>
            <w:vAlign w:val="bottom"/>
            <w:tcBorders>
              <w:top w:val="single" w:sz="8" w:color="0000FF"/>
            </w:tcBorders>
            <w:gridSpan w:val="25"/>
          </w:tcPr>
          <w:p>
            <w:pPr>
              <w:spacing w:after="0" w:line="127"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Co. Consolidated) Long-Term Retention Plan, adopted effective as of March 5, 2014.</w:t>
              </w:r>
            </w:hyperlink>
          </w:p>
        </w:tc>
        <w:tc>
          <w:tcPr>
            <w:tcW w:w="100" w:type="dxa"/>
            <w:vAlign w:val="bottom"/>
          </w:tcPr>
          <w:p>
            <w:pPr>
              <w:spacing w:after="0"/>
              <w:rPr>
                <w:sz w:val="11"/>
                <w:szCs w:val="11"/>
                <w:color w:val="auto"/>
              </w:rPr>
            </w:pPr>
          </w:p>
        </w:tc>
        <w:tc>
          <w:tcPr>
            <w:tcW w:w="3820" w:type="dxa"/>
            <w:vAlign w:val="bottom"/>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quarter ended April 1, 2022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10.52*</w:t>
            </w:r>
          </w:p>
        </w:tc>
        <w:tc>
          <w:tcPr>
            <w:tcW w:w="6220" w:type="dxa"/>
            <w:vAlign w:val="bottom"/>
            <w:gridSpan w:val="26"/>
            <w:shd w:val="clear" w:color="auto" w:fill="CCEEFF"/>
          </w:tcPr>
          <w:p>
            <w:pPr>
              <w:spacing w:after="0" w:line="138"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(formerly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Bottling Co. Consolidated) Long-Term Performance</w:t>
              </w:r>
            </w:hyperlink>
          </w:p>
        </w:tc>
        <w:tc>
          <w:tcPr>
            <w:tcW w:w="38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Appendix A to the Company’s Definitive Proxy Statement on</w:t>
            </w:r>
          </w:p>
        </w:tc>
      </w:tr>
      <w:tr>
        <w:trPr>
          <w:trHeight w:val="150"/>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3000" w:type="dxa"/>
            <w:vAlign w:val="bottom"/>
            <w:tcBorders>
              <w:top w:val="single" w:sz="8" w:color="0000FF"/>
              <w:bottom w:val="single" w:sz="8" w:color="0000FF"/>
            </w:tcBorders>
            <w:gridSpan w:val="7"/>
            <w:shd w:val="clear" w:color="auto" w:fill="CCEEFF"/>
          </w:tcPr>
          <w:p>
            <w:pPr>
              <w:spacing w:after="0" w:line="127"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Equity Plan, adopted effective as of January 1, 2018.</w:t>
              </w:r>
            </w:hyperlink>
          </w:p>
        </w:tc>
        <w:tc>
          <w:tcPr>
            <w:tcW w:w="2920" w:type="dxa"/>
            <w:vAlign w:val="bottom"/>
            <w:tcBorders>
              <w:top w:val="single" w:sz="8" w:color="0000FF"/>
              <w:bottom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820" w:type="dxa"/>
            <w:vAlign w:val="bottom"/>
            <w:tcBorders>
              <w:top w:val="single" w:sz="8" w:color="CCEEFF"/>
              <w:bottom w:val="single" w:sz="8" w:color="CCEEFF"/>
            </w:tcBorders>
            <w:shd w:val="clear" w:color="auto" w:fill="CCEEFF"/>
          </w:tcPr>
          <w:p>
            <w:pPr>
              <w:ind w:left="100"/>
              <w:spacing w:after="0" w:line="127" w:lineRule="exact"/>
              <w:rPr>
                <w:sz w:val="20"/>
                <w:szCs w:val="20"/>
                <w:color w:val="auto"/>
              </w:rPr>
            </w:pPr>
            <w:r>
              <w:rPr>
                <w:rFonts w:ascii="Times New Roman" w:cs="Times New Roman" w:eastAsia="Times New Roman" w:hAnsi="Times New Roman"/>
                <w:sz w:val="14"/>
                <w:szCs w:val="14"/>
                <w:color w:val="auto"/>
              </w:rPr>
              <w:t>Schedule 14A filed on March 26, 2018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10.53*</w:t>
            </w:r>
          </w:p>
        </w:tc>
        <w:tc>
          <w:tcPr>
            <w:tcW w:w="6220" w:type="dxa"/>
            <w:vAlign w:val="bottom"/>
            <w:gridSpan w:val="26"/>
          </w:tcPr>
          <w:p>
            <w:pPr>
              <w:spacing w:after="0" w:line="138"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Omnibus Amendment to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Nonqualified Employee Benefit Plans, dated as of</w:t>
              </w:r>
            </w:hyperlink>
          </w:p>
        </w:tc>
        <w:tc>
          <w:tcPr>
            <w:tcW w:w="38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10.1 to the Company’s Quarterly Report on Form 10-Q</w:t>
            </w:r>
          </w:p>
        </w:tc>
      </w:tr>
      <w:tr>
        <w:trPr>
          <w:trHeight w:val="127"/>
        </w:trPr>
        <w:tc>
          <w:tcPr>
            <w:tcW w:w="1240" w:type="dxa"/>
            <w:vAlign w:val="bottom"/>
          </w:tcPr>
          <w:p>
            <w:pPr>
              <w:spacing w:after="0"/>
              <w:rPr>
                <w:sz w:val="11"/>
                <w:szCs w:val="11"/>
                <w:color w:val="auto"/>
              </w:rPr>
            </w:pPr>
          </w:p>
        </w:tc>
        <w:tc>
          <w:tcPr>
            <w:tcW w:w="6040" w:type="dxa"/>
            <w:vAlign w:val="bottom"/>
            <w:tcBorders>
              <w:top w:val="single" w:sz="8" w:color="0000FF"/>
            </w:tcBorders>
            <w:gridSpan w:val="21"/>
          </w:tcPr>
          <w:p>
            <w:pPr>
              <w:spacing w:after="0" w:line="127"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September 6, 2019.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3820" w:type="dxa"/>
            <w:vAlign w:val="bottom"/>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quarter ended September 29, 2019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10.54*</w:t>
            </w:r>
          </w:p>
        </w:tc>
        <w:tc>
          <w:tcPr>
            <w:tcW w:w="6220" w:type="dxa"/>
            <w:vAlign w:val="bottom"/>
            <w:gridSpan w:val="26"/>
            <w:shd w:val="clear" w:color="auto" w:fill="CCEEFF"/>
          </w:tcPr>
          <w:p>
            <w:pPr>
              <w:spacing w:after="0" w:line="138"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Omnibus Amendment to Coca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Cola Consolidated, Inc. and CCBCC Operations, LLC Qualified Employee</w:t>
              </w:r>
            </w:hyperlink>
          </w:p>
        </w:tc>
        <w:tc>
          <w:tcPr>
            <w:tcW w:w="38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10.2 to the Company’s Quarterly Report on Form 10-Q</w:t>
            </w:r>
          </w:p>
        </w:tc>
      </w:tr>
      <w:tr>
        <w:trPr>
          <w:trHeight w:val="127"/>
        </w:trPr>
        <w:tc>
          <w:tcPr>
            <w:tcW w:w="1240" w:type="dxa"/>
            <w:vAlign w:val="bottom"/>
            <w:tcBorders>
              <w:top w:val="single" w:sz="8" w:color="CCEEFF"/>
            </w:tcBorders>
            <w:shd w:val="clear" w:color="auto" w:fill="CCEEFF"/>
          </w:tcPr>
          <w:p>
            <w:pPr>
              <w:spacing w:after="0"/>
              <w:rPr>
                <w:sz w:val="11"/>
                <w:szCs w:val="11"/>
                <w:color w:val="auto"/>
              </w:rPr>
            </w:pPr>
          </w:p>
        </w:tc>
        <w:tc>
          <w:tcPr>
            <w:tcW w:w="6060" w:type="dxa"/>
            <w:vAlign w:val="bottom"/>
            <w:tcBorders>
              <w:top w:val="single" w:sz="8" w:color="0000FF"/>
            </w:tcBorders>
            <w:gridSpan w:val="22"/>
            <w:shd w:val="clear" w:color="auto" w:fill="CCEEFF"/>
          </w:tcPr>
          <w:p>
            <w:pPr>
              <w:spacing w:after="0" w:line="127"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Benefit Plans, dated as of September 6, 2019.</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3820" w:type="dxa"/>
            <w:vAlign w:val="bottom"/>
            <w:tcBorders>
              <w:top w:val="single" w:sz="8" w:color="CCEEFF"/>
            </w:tcBorders>
            <w:shd w:val="clear" w:color="auto" w:fill="CCEEFF"/>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quarter ended September 29, 2019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10.55*</w:t>
            </w:r>
          </w:p>
        </w:tc>
        <w:tc>
          <w:tcPr>
            <w:tcW w:w="6220" w:type="dxa"/>
            <w:vAlign w:val="bottom"/>
            <w:gridSpan w:val="26"/>
          </w:tcPr>
          <w:p>
            <w:pPr>
              <w:spacing w:after="0" w:line="138"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Form of Amended and Restated Split-Dollar and Deferred Compensation Replacement Benefit Agreement,</w:t>
              </w:r>
            </w:hyperlink>
          </w:p>
        </w:tc>
        <w:tc>
          <w:tcPr>
            <w:tcW w:w="38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10.24 to the Company’s Annual Report on Form 10-K</w:t>
            </w:r>
          </w:p>
        </w:tc>
      </w:tr>
      <w:tr>
        <w:trPr>
          <w:trHeight w:val="127"/>
        </w:trPr>
        <w:tc>
          <w:tcPr>
            <w:tcW w:w="1240" w:type="dxa"/>
            <w:vAlign w:val="bottom"/>
          </w:tcPr>
          <w:p>
            <w:pPr>
              <w:spacing w:after="0"/>
              <w:rPr>
                <w:sz w:val="11"/>
                <w:szCs w:val="11"/>
                <w:color w:val="auto"/>
              </w:rPr>
            </w:pPr>
          </w:p>
        </w:tc>
        <w:tc>
          <w:tcPr>
            <w:tcW w:w="6100" w:type="dxa"/>
            <w:vAlign w:val="bottom"/>
            <w:tcBorders>
              <w:top w:val="single" w:sz="8" w:color="0000FF"/>
            </w:tcBorders>
            <w:gridSpan w:val="24"/>
          </w:tcPr>
          <w:p>
            <w:pPr>
              <w:spacing w:after="0" w:line="127"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effective as of November 1, 2005, by and between the Company and eligible employees of the Company.</w:t>
              </w:r>
            </w:hyperlink>
          </w:p>
        </w:tc>
        <w:tc>
          <w:tcPr>
            <w:tcW w:w="120" w:type="dxa"/>
            <w:vAlign w:val="bottom"/>
            <w:gridSpan w:val="2"/>
          </w:tcPr>
          <w:p>
            <w:pPr>
              <w:spacing w:after="0"/>
              <w:rPr>
                <w:sz w:val="11"/>
                <w:szCs w:val="11"/>
                <w:color w:val="auto"/>
              </w:rPr>
            </w:pPr>
          </w:p>
        </w:tc>
        <w:tc>
          <w:tcPr>
            <w:tcW w:w="3820" w:type="dxa"/>
            <w:vAlign w:val="bottom"/>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fiscal year ended January 1, 2006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39"/>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10.56*</w:t>
            </w:r>
          </w:p>
        </w:tc>
        <w:tc>
          <w:tcPr>
            <w:tcW w:w="6220" w:type="dxa"/>
            <w:vAlign w:val="bottom"/>
            <w:gridSpan w:val="26"/>
            <w:shd w:val="clear" w:color="auto" w:fill="CCEEFF"/>
          </w:tcPr>
          <w:p>
            <w:pPr>
              <w:spacing w:after="0" w:line="138"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Consulting Agreement, dated as of March 3, 2020, by and between the Company and Umesh M. Kasbekar.</w:t>
              </w:r>
            </w:hyperlink>
          </w:p>
        </w:tc>
        <w:tc>
          <w:tcPr>
            <w:tcW w:w="38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w:t>
            </w:r>
          </w:p>
        </w:tc>
      </w:tr>
      <w:tr>
        <w:trPr>
          <w:trHeight w:val="170"/>
        </w:trPr>
        <w:tc>
          <w:tcPr>
            <w:tcW w:w="12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88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0000FF"/>
            </w:tcBorders>
            <w:shd w:val="clear" w:color="auto" w:fill="CCEEFF"/>
          </w:tcPr>
          <w:p>
            <w:pPr>
              <w:spacing w:after="0"/>
              <w:rPr>
                <w:sz w:val="14"/>
                <w:szCs w:val="14"/>
                <w:color w:val="auto"/>
              </w:rPr>
            </w:pPr>
          </w:p>
        </w:tc>
        <w:tc>
          <w:tcPr>
            <w:tcW w:w="94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86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20" w:type="dxa"/>
            <w:vAlign w:val="bottom"/>
            <w:tcBorders>
              <w:top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4"/>
                <w:szCs w:val="14"/>
                <w:color w:val="auto"/>
              </w:rPr>
              <w:t>on March 6, 2020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139"/>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10.57*</w:t>
            </w:r>
          </w:p>
        </w:tc>
        <w:tc>
          <w:tcPr>
            <w:tcW w:w="6220" w:type="dxa"/>
            <w:vAlign w:val="bottom"/>
            <w:gridSpan w:val="26"/>
          </w:tcPr>
          <w:p>
            <w:pPr>
              <w:spacing w:after="0" w:line="138"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First Amendment to Consulting Agreement, dated as of June 10, 2022, by and between the Company and</w:t>
              </w:r>
            </w:hyperlink>
          </w:p>
        </w:tc>
        <w:tc>
          <w:tcPr>
            <w:tcW w:w="38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Exhibit 10.1 to the Company’s Quarterly Report on Form 10-Q</w:t>
            </w:r>
          </w:p>
        </w:tc>
      </w:tr>
      <w:tr>
        <w:trPr>
          <w:trHeight w:val="127"/>
        </w:trPr>
        <w:tc>
          <w:tcPr>
            <w:tcW w:w="1240" w:type="dxa"/>
            <w:vAlign w:val="bottom"/>
          </w:tcPr>
          <w:p>
            <w:pPr>
              <w:spacing w:after="0"/>
              <w:rPr>
                <w:sz w:val="11"/>
                <w:szCs w:val="11"/>
                <w:color w:val="auto"/>
              </w:rPr>
            </w:pPr>
          </w:p>
        </w:tc>
        <w:tc>
          <w:tcPr>
            <w:tcW w:w="5980" w:type="dxa"/>
            <w:vAlign w:val="bottom"/>
            <w:tcBorders>
              <w:top w:val="single" w:sz="8" w:color="0000FF"/>
            </w:tcBorders>
            <w:gridSpan w:val="18"/>
          </w:tcPr>
          <w:p>
            <w:pPr>
              <w:spacing w:after="0" w:line="127"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Umesh M. Kasbekar.</w:t>
              </w:r>
            </w:hyperlink>
          </w:p>
        </w:tc>
        <w:tc>
          <w:tcPr>
            <w:tcW w:w="20" w:type="dxa"/>
            <w:vAlign w:val="bottom"/>
          </w:tcPr>
          <w:p>
            <w:pPr>
              <w:spacing w:after="0"/>
              <w:rPr>
                <w:sz w:val="11"/>
                <w:szCs w:val="11"/>
                <w:color w:val="auto"/>
              </w:rPr>
            </w:pPr>
          </w:p>
        </w:tc>
        <w:tc>
          <w:tcPr>
            <w:tcW w:w="220" w:type="dxa"/>
            <w:vAlign w:val="bottom"/>
            <w:gridSpan w:val="7"/>
          </w:tcPr>
          <w:p>
            <w:pPr>
              <w:spacing w:after="0"/>
              <w:rPr>
                <w:sz w:val="11"/>
                <w:szCs w:val="11"/>
                <w:color w:val="auto"/>
              </w:rPr>
            </w:pPr>
          </w:p>
        </w:tc>
        <w:tc>
          <w:tcPr>
            <w:tcW w:w="3820" w:type="dxa"/>
            <w:vAlign w:val="bottom"/>
          </w:tcPr>
          <w:p>
            <w:pPr>
              <w:ind w:left="100"/>
              <w:spacing w:after="0" w:line="127" w:lineRule="exact"/>
              <w:rPr>
                <w:sz w:val="20"/>
                <w:szCs w:val="20"/>
                <w:color w:val="auto"/>
              </w:rPr>
            </w:pPr>
            <w:r>
              <w:rPr>
                <w:rFonts w:ascii="Times New Roman" w:cs="Times New Roman" w:eastAsia="Times New Roman" w:hAnsi="Times New Roman"/>
                <w:sz w:val="14"/>
                <w:szCs w:val="14"/>
                <w:color w:val="auto"/>
              </w:rPr>
              <w:t>for the quarter ended July 1, 2022 (File No. 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9286).</w:t>
            </w:r>
          </w:p>
        </w:tc>
      </w:tr>
      <w:tr>
        <w:trPr>
          <w:trHeight w:val="22"/>
        </w:trPr>
        <w:tc>
          <w:tcPr>
            <w:tcW w:w="12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49"/>
        </w:trPr>
        <w:tc>
          <w:tcPr>
            <w:tcW w:w="1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622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List of Subsidiaries of the Company.</w:t>
            </w:r>
          </w:p>
        </w:tc>
        <w:tc>
          <w:tcPr>
            <w:tcW w:w="38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Filed herewith.</w:t>
            </w:r>
          </w:p>
        </w:tc>
      </w:tr>
      <w:tr>
        <w:trPr>
          <w:trHeight w:val="32"/>
        </w:trPr>
        <w:tc>
          <w:tcPr>
            <w:tcW w:w="1240" w:type="dxa"/>
            <w:vAlign w:val="bottom"/>
            <w:shd w:val="clear" w:color="auto" w:fill="CCEE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r>
      <w:tr>
        <w:trPr>
          <w:trHeight w:val="154"/>
        </w:trPr>
        <w:tc>
          <w:tcPr>
            <w:tcW w:w="1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3440" w:type="dxa"/>
            <w:vAlign w:val="bottom"/>
            <w:tcBorders>
              <w:bottom w:val="single" w:sz="8" w:color="0000FF"/>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2780" w:type="dxa"/>
            <w:vAlign w:val="bottom"/>
            <w:gridSpan w:val="17"/>
          </w:tcPr>
          <w:p>
            <w:pPr>
              <w:spacing w:after="0"/>
              <w:rPr>
                <w:sz w:val="13"/>
                <w:szCs w:val="13"/>
                <w:color w:val="auto"/>
              </w:rPr>
            </w:pPr>
          </w:p>
        </w:tc>
        <w:tc>
          <w:tcPr>
            <w:tcW w:w="3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Filed herewith.</w:t>
            </w:r>
          </w:p>
        </w:tc>
      </w:tr>
      <w:tr>
        <w:trPr>
          <w:trHeight w:val="154"/>
        </w:trPr>
        <w:tc>
          <w:tcPr>
            <w:tcW w:w="12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31.1</w:t>
            </w:r>
          </w:p>
        </w:tc>
        <w:tc>
          <w:tcPr>
            <w:tcW w:w="622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13a-14(a)/15d-14(a), as adopted pursuant to</w:t>
            </w:r>
          </w:p>
        </w:tc>
        <w:tc>
          <w:tcPr>
            <w:tcW w:w="382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Filed herewith.</w:t>
            </w:r>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5960" w:type="dxa"/>
            <w:vAlign w:val="bottom"/>
            <w:tcBorders>
              <w:top w:val="single" w:sz="8" w:color="0000FF"/>
            </w:tcBorders>
            <w:gridSpan w:val="17"/>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Section 302 of the Sarbanes-Oxley Act of 2002.</w:t>
            </w:r>
          </w:p>
        </w:tc>
        <w:tc>
          <w:tcPr>
            <w:tcW w:w="40" w:type="dxa"/>
            <w:vAlign w:val="bottom"/>
            <w:tcBorders>
              <w:top w:val="single" w:sz="8" w:color="CCEEFF"/>
            </w:tcBorders>
            <w:gridSpan w:val="2"/>
            <w:shd w:val="clear" w:color="auto" w:fill="CCEEFF"/>
          </w:tcPr>
          <w:p>
            <w:pPr>
              <w:spacing w:after="0"/>
              <w:rPr>
                <w:sz w:val="10"/>
                <w:szCs w:val="10"/>
                <w:color w:val="auto"/>
              </w:rPr>
            </w:pPr>
          </w:p>
        </w:tc>
        <w:tc>
          <w:tcPr>
            <w:tcW w:w="220" w:type="dxa"/>
            <w:vAlign w:val="bottom"/>
            <w:tcBorders>
              <w:top w:val="single" w:sz="8" w:color="CCEEFF"/>
            </w:tcBorders>
            <w:gridSpan w:val="7"/>
            <w:shd w:val="clear" w:color="auto" w:fill="CCEEFF"/>
          </w:tcPr>
          <w:p>
            <w:pPr>
              <w:spacing w:after="0"/>
              <w:rPr>
                <w:sz w:val="10"/>
                <w:szCs w:val="10"/>
                <w:color w:val="auto"/>
              </w:rPr>
            </w:pPr>
          </w:p>
        </w:tc>
        <w:tc>
          <w:tcPr>
            <w:tcW w:w="3820" w:type="dxa"/>
            <w:vAlign w:val="bottom"/>
            <w:tcBorders>
              <w:top w:val="single" w:sz="8" w:color="CCEEFF"/>
            </w:tcBorders>
            <w:shd w:val="clear" w:color="auto" w:fill="CCEEFF"/>
          </w:tcPr>
          <w:p>
            <w:pPr>
              <w:spacing w:after="0"/>
              <w:rPr>
                <w:sz w:val="10"/>
                <w:szCs w:val="10"/>
                <w:color w:val="auto"/>
              </w:rPr>
            </w:pPr>
          </w:p>
        </w:tc>
      </w:tr>
      <w:tr>
        <w:trPr>
          <w:trHeight w:val="22"/>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6220" w:type="dxa"/>
            <w:vAlign w:val="bottom"/>
            <w:gridSpan w:val="26"/>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 13a-14(a)/15d-14(a), as adopted pursuant to</w:t>
            </w:r>
          </w:p>
        </w:tc>
        <w:tc>
          <w:tcPr>
            <w:tcW w:w="3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Filed herewith.</w:t>
            </w:r>
          </w:p>
        </w:tc>
      </w:tr>
      <w:tr>
        <w:trPr>
          <w:trHeight w:val="118"/>
        </w:trPr>
        <w:tc>
          <w:tcPr>
            <w:tcW w:w="1240" w:type="dxa"/>
            <w:vAlign w:val="bottom"/>
          </w:tcPr>
          <w:p>
            <w:pPr>
              <w:spacing w:after="0"/>
              <w:rPr>
                <w:sz w:val="10"/>
                <w:szCs w:val="10"/>
                <w:color w:val="auto"/>
              </w:rPr>
            </w:pPr>
          </w:p>
        </w:tc>
        <w:tc>
          <w:tcPr>
            <w:tcW w:w="5940" w:type="dxa"/>
            <w:vAlign w:val="bottom"/>
            <w:tcBorders>
              <w:top w:val="single" w:sz="8" w:color="0000FF"/>
            </w:tcBorders>
            <w:gridSpan w:val="16"/>
          </w:tcPr>
          <w:p>
            <w:pPr>
              <w:spacing w:after="0" w:line="118" w:lineRule="exact"/>
              <w:rPr>
                <w:sz w:val="20"/>
                <w:szCs w:val="20"/>
                <w:color w:val="auto"/>
              </w:rPr>
            </w:pPr>
            <w:r>
              <w:rPr>
                <w:rFonts w:ascii="Times New Roman" w:cs="Times New Roman" w:eastAsia="Times New Roman" w:hAnsi="Times New Roman"/>
                <w:sz w:val="13"/>
                <w:szCs w:val="13"/>
                <w:color w:val="0000FF"/>
              </w:rPr>
              <w:t>Section 302 of the Sarbanes-Oxley Act of 2002.</w:t>
            </w:r>
          </w:p>
        </w:tc>
        <w:tc>
          <w:tcPr>
            <w:tcW w:w="60" w:type="dxa"/>
            <w:vAlign w:val="bottom"/>
            <w:gridSpan w:val="3"/>
          </w:tcPr>
          <w:p>
            <w:pPr>
              <w:spacing w:after="0"/>
              <w:rPr>
                <w:sz w:val="10"/>
                <w:szCs w:val="10"/>
                <w:color w:val="auto"/>
              </w:rPr>
            </w:pPr>
          </w:p>
        </w:tc>
        <w:tc>
          <w:tcPr>
            <w:tcW w:w="220" w:type="dxa"/>
            <w:vAlign w:val="bottom"/>
            <w:gridSpan w:val="7"/>
          </w:tcPr>
          <w:p>
            <w:pPr>
              <w:spacing w:after="0"/>
              <w:rPr>
                <w:sz w:val="10"/>
                <w:szCs w:val="10"/>
                <w:color w:val="auto"/>
              </w:rPr>
            </w:pPr>
          </w:p>
        </w:tc>
        <w:tc>
          <w:tcPr>
            <w:tcW w:w="3820" w:type="dxa"/>
            <w:vAlign w:val="bottom"/>
          </w:tcPr>
          <w:p>
            <w:pPr>
              <w:spacing w:after="0"/>
              <w:rPr>
                <w:sz w:val="10"/>
                <w:szCs w:val="10"/>
                <w:color w:val="auto"/>
              </w:rPr>
            </w:pPr>
          </w:p>
        </w:tc>
      </w:tr>
      <w:tr>
        <w:trPr>
          <w:trHeight w:val="22"/>
        </w:trPr>
        <w:tc>
          <w:tcPr>
            <w:tcW w:w="12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49"/>
        </w:trPr>
        <w:tc>
          <w:tcPr>
            <w:tcW w:w="1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22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w:t>
            </w:r>
          </w:p>
        </w:tc>
        <w:tc>
          <w:tcPr>
            <w:tcW w:w="38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Furnished herewith.</w:t>
            </w:r>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6000" w:type="dxa"/>
            <w:vAlign w:val="bottom"/>
            <w:tcBorders>
              <w:top w:val="single" w:sz="8" w:color="0000FF"/>
            </w:tcBorders>
            <w:gridSpan w:val="19"/>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1350, as adopted pursuant to Section 906 of the Sarbanes-Oxley Act of 2002.</w:t>
            </w:r>
          </w:p>
        </w:tc>
        <w:tc>
          <w:tcPr>
            <w:tcW w:w="220" w:type="dxa"/>
            <w:vAlign w:val="bottom"/>
            <w:tcBorders>
              <w:top w:val="single" w:sz="8" w:color="CCEEFF"/>
            </w:tcBorders>
            <w:gridSpan w:val="7"/>
            <w:shd w:val="clear" w:color="auto" w:fill="CCEEFF"/>
          </w:tcPr>
          <w:p>
            <w:pPr>
              <w:spacing w:after="0"/>
              <w:rPr>
                <w:sz w:val="10"/>
                <w:szCs w:val="10"/>
                <w:color w:val="auto"/>
              </w:rPr>
            </w:pPr>
          </w:p>
        </w:tc>
        <w:tc>
          <w:tcPr>
            <w:tcW w:w="3820" w:type="dxa"/>
            <w:vAlign w:val="bottom"/>
            <w:tcBorders>
              <w:top w:val="single" w:sz="8" w:color="CCEEFF"/>
            </w:tcBorders>
            <w:shd w:val="clear" w:color="auto" w:fill="CCEEFF"/>
          </w:tcPr>
          <w:p>
            <w:pPr>
              <w:spacing w:after="0"/>
              <w:rPr>
                <w:sz w:val="10"/>
                <w:szCs w:val="10"/>
                <w:color w:val="auto"/>
              </w:rPr>
            </w:pPr>
          </w:p>
        </w:tc>
      </w:tr>
      <w:tr>
        <w:trPr>
          <w:trHeight w:val="22"/>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101.INS</w:t>
            </w:r>
          </w:p>
        </w:tc>
        <w:tc>
          <w:tcPr>
            <w:tcW w:w="6220" w:type="dxa"/>
            <w:vAlign w:val="bottom"/>
            <w:gridSpan w:val="26"/>
          </w:tcPr>
          <w:p>
            <w:pPr>
              <w:spacing w:after="0" w:line="138" w:lineRule="exact"/>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c>
          <w:tcPr>
            <w:tcW w:w="38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1240" w:type="dxa"/>
            <w:vAlign w:val="bottom"/>
          </w:tcPr>
          <w:p>
            <w:pPr>
              <w:spacing w:after="0"/>
              <w:rPr>
                <w:sz w:val="16"/>
                <w:szCs w:val="16"/>
                <w:color w:val="auto"/>
              </w:rPr>
            </w:pPr>
          </w:p>
        </w:tc>
        <w:tc>
          <w:tcPr>
            <w:tcW w:w="622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because its XBRL tags are embedded within the Inline XBRL document.</w:t>
            </w:r>
          </w:p>
        </w:tc>
        <w:tc>
          <w:tcPr>
            <w:tcW w:w="3820" w:type="dxa"/>
            <w:vAlign w:val="bottom"/>
          </w:tcPr>
          <w:p>
            <w:pPr>
              <w:spacing w:after="0"/>
              <w:rPr>
                <w:sz w:val="16"/>
                <w:szCs w:val="16"/>
                <w:color w:val="auto"/>
              </w:rPr>
            </w:pPr>
          </w:p>
        </w:tc>
      </w:tr>
      <w:tr>
        <w:trPr>
          <w:trHeight w:val="590"/>
        </w:trPr>
        <w:tc>
          <w:tcPr>
            <w:tcW w:w="1240" w:type="dxa"/>
            <w:vAlign w:val="bottom"/>
          </w:tcPr>
          <w:p>
            <w:pPr>
              <w:spacing w:after="0"/>
              <w:rPr>
                <w:sz w:val="24"/>
                <w:szCs w:val="24"/>
                <w:color w:val="auto"/>
              </w:rPr>
            </w:pPr>
          </w:p>
        </w:tc>
        <w:tc>
          <w:tcPr>
            <w:tcW w:w="4840" w:type="dxa"/>
            <w:vAlign w:val="bottom"/>
            <w:gridSpan w:val="11"/>
          </w:tcPr>
          <w:p>
            <w:pPr>
              <w:ind w:left="4340"/>
              <w:spacing w:after="0"/>
              <w:rPr>
                <w:sz w:val="20"/>
                <w:szCs w:val="20"/>
                <w:color w:val="auto"/>
              </w:rPr>
            </w:pPr>
            <w:r>
              <w:rPr>
                <w:rFonts w:ascii="Times New Roman" w:cs="Times New Roman" w:eastAsia="Times New Roman" w:hAnsi="Times New Roman"/>
                <w:sz w:val="14"/>
                <w:szCs w:val="14"/>
                <w:color w:val="auto"/>
              </w:rPr>
              <w:t>84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7"/>
        </w:trPr>
        <w:tc>
          <w:tcPr>
            <w:tcW w:w="12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300" w:type="dxa"/>
            <w:vAlign w:val="bottom"/>
            <w:gridSpan w:val="2"/>
            <w:vMerge w:val="restart"/>
          </w:tcPr>
          <w:p>
            <w:pPr>
              <w:ind w:left="2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Incorporated by Reference or</w:t>
            </w:r>
          </w:p>
        </w:tc>
        <w:tc>
          <w:tcPr>
            <w:tcW w:w="0" w:type="dxa"/>
            <w:vAlign w:val="bottom"/>
          </w:tcPr>
          <w:p>
            <w:pPr>
              <w:spacing w:after="0"/>
              <w:rPr>
                <w:sz w:val="1"/>
                <w:szCs w:val="1"/>
                <w:color w:val="auto"/>
              </w:rPr>
            </w:pPr>
          </w:p>
        </w:tc>
      </w:tr>
      <w:tr>
        <w:trPr>
          <w:trHeight w:val="191"/>
        </w:trPr>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6300" w:type="dxa"/>
            <w:vAlign w:val="bottom"/>
            <w:gridSpan w:val="2"/>
            <w:vMerge w:val="continue"/>
          </w:tcPr>
          <w:p>
            <w:pPr>
              <w:spacing w:after="0"/>
              <w:rPr>
                <w:sz w:val="16"/>
                <w:szCs w:val="16"/>
                <w:color w:val="auto"/>
              </w:rPr>
            </w:pPr>
          </w:p>
        </w:tc>
        <w:tc>
          <w:tcPr>
            <w:tcW w:w="37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Filed/Furnished Herewith</w:t>
            </w:r>
          </w:p>
        </w:tc>
        <w:tc>
          <w:tcPr>
            <w:tcW w:w="0" w:type="dxa"/>
            <w:vAlign w:val="bottom"/>
          </w:tcPr>
          <w:p>
            <w:pPr>
              <w:spacing w:after="0"/>
              <w:rPr>
                <w:sz w:val="1"/>
                <w:szCs w:val="1"/>
                <w:color w:val="auto"/>
              </w:rPr>
            </w:pPr>
          </w:p>
        </w:tc>
      </w:tr>
      <w:tr>
        <w:trPr>
          <w:trHeight w:val="171"/>
        </w:trPr>
        <w:tc>
          <w:tcPr>
            <w:tcW w:w="1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Borders>
              <w:top w:val="single" w:sz="8" w:color="CCEEFF"/>
            </w:tcBorders>
            <w:shd w:val="clear" w:color="auto" w:fill="CCEEFF"/>
          </w:tcPr>
          <w:p>
            <w:pPr>
              <w:spacing w:after="0"/>
              <w:rPr>
                <w:sz w:val="14"/>
                <w:szCs w:val="14"/>
                <w:color w:val="auto"/>
              </w:rPr>
            </w:pPr>
          </w:p>
        </w:tc>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0" w:type="dxa"/>
            <w:vAlign w:val="bottom"/>
            <w:tcBorders>
              <w:top w:val="single" w:sz="8" w:color="CCEEFF"/>
            </w:tcBorders>
            <w:shd w:val="clear" w:color="auto" w:fill="CCEEFF"/>
          </w:tcPr>
          <w:p>
            <w:pPr>
              <w:spacing w:after="0"/>
              <w:rPr>
                <w:sz w:val="14"/>
                <w:szCs w:val="14"/>
                <w:color w:val="auto"/>
              </w:rPr>
            </w:pP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38"/>
        </w:trPr>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1"/>
                <w:szCs w:val="11"/>
                <w:color w:val="auto"/>
              </w:rPr>
            </w:pPr>
          </w:p>
        </w:tc>
        <w:tc>
          <w:tcPr>
            <w:tcW w:w="630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Cover Page Interactive Data File – the cover page interactive data file does not appear in the Interactive Data</w:t>
            </w:r>
          </w:p>
        </w:tc>
        <w:tc>
          <w:tcPr>
            <w:tcW w:w="37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File because its XBRL tags are embedded within the Inline XBRL document.</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700" w:hanging="681"/>
        <w:spacing w:after="0"/>
        <w:tabs>
          <w:tab w:leader="none" w:pos="7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or arrangement.</w:t>
      </w:r>
    </w:p>
    <w:p>
      <w:pPr>
        <w:spacing w:after="0" w:line="23" w:lineRule="exact"/>
        <w:rPr>
          <w:sz w:val="20"/>
          <w:szCs w:val="20"/>
          <w:color w:val="auto"/>
        </w:rPr>
      </w:pPr>
    </w:p>
    <w:p>
      <w:pPr>
        <w:ind w:left="700" w:hanging="681"/>
        <w:spacing w:after="0"/>
        <w:tabs>
          <w:tab w:leader="none" w:pos="7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omitted pursuant to a request for confidential treatment filed with the SEC.</w:t>
      </w:r>
    </w:p>
    <w:p>
      <w:pPr>
        <w:spacing w:after="0" w:line="19" w:lineRule="exact"/>
        <w:rPr>
          <w:rFonts w:ascii="Times New Roman" w:cs="Times New Roman" w:eastAsia="Times New Roman" w:hAnsi="Times New Roman"/>
          <w:sz w:val="14"/>
          <w:szCs w:val="14"/>
          <w:color w:val="auto"/>
        </w:rPr>
      </w:pPr>
    </w:p>
    <w:p>
      <w:pPr>
        <w:ind w:left="700" w:hanging="681"/>
        <w:spacing w:after="0" w:line="161" w:lineRule="exact"/>
        <w:tabs>
          <w:tab w:leader="none" w:pos="7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of this exhibit have been redacted in accordance with Item 601(b)(10) of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p>
      <w:pPr>
        <w:spacing w:after="0" w:line="32" w:lineRule="exact"/>
        <w:rPr>
          <w:sz w:val="20"/>
          <w:szCs w:val="20"/>
          <w:color w:val="auto"/>
        </w:rPr>
      </w:pPr>
    </w:p>
    <w:p>
      <w:pPr>
        <w:ind w:left="700" w:right="720" w:hanging="681"/>
        <w:spacing w:after="0" w:line="228" w:lineRule="auto"/>
        <w:tabs>
          <w:tab w:leader="none" w:pos="7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similar supporting attachments to this agreement have been omitted, and the Company agrees to furnish supplemental copies of any such schedules and similar supporting attachments to the SEC upon request.</w:t>
      </w:r>
    </w:p>
    <w:p>
      <w:pPr>
        <w:spacing w:after="0" w:line="251" w:lineRule="exact"/>
        <w:rPr>
          <w:sz w:val="20"/>
          <w:szCs w:val="20"/>
          <w:color w:val="auto"/>
        </w:rPr>
      </w:pPr>
    </w:p>
    <w:p>
      <w:pPr>
        <w:ind w:left="500" w:hanging="495"/>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15(a)(3) above.</w:t>
      </w:r>
    </w:p>
    <w:p>
      <w:pPr>
        <w:spacing w:after="0" w:line="200" w:lineRule="exact"/>
        <w:rPr>
          <w:sz w:val="20"/>
          <w:szCs w:val="20"/>
          <w:color w:val="auto"/>
        </w:rPr>
      </w:pPr>
    </w:p>
    <w:p>
      <w:pPr>
        <w:ind w:right="9000" w:firstLine="5"/>
        <w:spacing w:after="0" w:line="536" w:lineRule="auto"/>
        <w:tabs>
          <w:tab w:leader="none" w:pos="50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See Item 15(a)(2) above.</w:t>
      </w: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COCA-COLA CONSOLIDATED,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VALUATION AND QUALIFYING ACCOUNTS AND RESERVES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 - allowance for doubtful accounts</w:t>
            </w: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21,620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13,782</w:t>
            </w:r>
          </w:p>
        </w:tc>
        <w:tc>
          <w:tcPr>
            <w:tcW w:w="0" w:type="dxa"/>
            <w:vAlign w:val="bottom"/>
          </w:tcPr>
          <w:p>
            <w:pPr>
              <w:spacing w:after="0"/>
              <w:rPr>
                <w:sz w:val="1"/>
                <w:szCs w:val="1"/>
                <w:color w:val="auto"/>
              </w:rPr>
            </w:pP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charged to expenses and as a reduction to net sales</w:t>
            </w: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14,265</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w:t>
            </w: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 allowance for doubtful accounts</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16,119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17,336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21,620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100" w:type="dxa"/>
            <w:vAlign w:val="bottom"/>
          </w:tcPr>
          <w:p>
            <w:pPr>
              <w:spacing w:after="0"/>
              <w:rPr>
                <w:sz w:val="24"/>
                <w:szCs w:val="24"/>
                <w:color w:val="auto"/>
              </w:rPr>
            </w:pPr>
          </w:p>
        </w:tc>
        <w:tc>
          <w:tcPr>
            <w:tcW w:w="3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Deferred Income Tax Valuation Allowance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 - valuation allowance for deferred tax assets</w:t>
            </w: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4,372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5,325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7,190</w:t>
            </w:r>
          </w:p>
        </w:tc>
        <w:tc>
          <w:tcPr>
            <w:tcW w:w="0" w:type="dxa"/>
            <w:vAlign w:val="bottom"/>
          </w:tcPr>
          <w:p>
            <w:pPr>
              <w:spacing w:after="0"/>
              <w:rPr>
                <w:sz w:val="1"/>
                <w:szCs w:val="1"/>
                <w:color w:val="auto"/>
              </w:rPr>
            </w:pP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charged to costs and expenses</w:t>
            </w: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 credited to expense</w:t>
            </w: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 valuation allowance for deferred tax assets</w:t>
            </w:r>
          </w:p>
        </w:tc>
        <w:tc>
          <w:tcPr>
            <w:tcW w:w="2640" w:type="dxa"/>
            <w:vAlign w:val="bottom"/>
            <w:gridSpan w:val="2"/>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3,428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4,372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5,325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540" w:type="dxa"/>
            <w:vAlign w:val="bottom"/>
            <w:vMerge w:val="restart"/>
          </w:tcPr>
          <w:p>
            <w:pPr>
              <w:jc w:val="right"/>
              <w:ind w:right="849"/>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1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0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color w:val="auto"/>
        </w:rPr>
        <w:t>COCA-COLA CONSOLIDATED, INC.</w:t>
      </w:r>
    </w:p>
    <w:p>
      <w:pPr>
        <w:jc w:val="center"/>
        <w:ind w:left="5660"/>
        <w:spacing w:after="0"/>
        <w:rPr>
          <w:sz w:val="20"/>
          <w:szCs w:val="20"/>
          <w:color w:val="auto"/>
        </w:rPr>
      </w:pPr>
      <w:r>
        <w:rPr>
          <w:rFonts w:ascii="Times New Roman" w:cs="Times New Roman" w:eastAsia="Times New Roman" w:hAnsi="Times New Roman"/>
          <w:sz w:val="14"/>
          <w:szCs w:val="14"/>
          <w:color w:val="auto"/>
        </w:rPr>
        <w:t>(REGISTRANT)</w:t>
      </w:r>
    </w:p>
    <w:p>
      <w:pPr>
        <w:spacing w:after="0" w:line="194" w:lineRule="exact"/>
        <w:rPr>
          <w:sz w:val="20"/>
          <w:szCs w:val="20"/>
          <w:color w:val="auto"/>
        </w:rPr>
      </w:pPr>
    </w:p>
    <w:p>
      <w:pPr>
        <w:ind w:left="20"/>
        <w:spacing w:after="0"/>
        <w:tabs>
          <w:tab w:leader="none" w:pos="6220" w:val="left"/>
          <w:tab w:leader="none" w:pos="8180" w:val="left"/>
        </w:tabs>
        <w:rPr>
          <w:sz w:val="20"/>
          <w:szCs w:val="20"/>
          <w:color w:val="auto"/>
        </w:rPr>
      </w:pPr>
      <w:r>
        <w:rPr>
          <w:rFonts w:ascii="Times New Roman" w:cs="Times New Roman" w:eastAsia="Times New Roman" w:hAnsi="Times New Roman"/>
          <w:sz w:val="14"/>
          <w:szCs w:val="14"/>
          <w:color w:val="auto"/>
        </w:rPr>
        <w:t>Date: February 22,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 Frank Harrison,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14605</wp:posOffset>
            </wp:positionV>
            <wp:extent cx="255333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5">
                      <a:extLst>
                        <a:ext uri="{28A0092B-C50C-407E-A947-70E740481C1C}"/>
                      </a:extLst>
                    </a:blip>
                    <a:srcRect/>
                    <a:stretch>
                      <a:fillRect/>
                    </a:stretch>
                  </pic:blipFill>
                  <pic:spPr bwMode="auto">
                    <a:xfrm>
                      <a:off x="0" y="0"/>
                      <a:ext cx="2553335" cy="6985"/>
                    </a:xfrm>
                    <a:prstGeom prst="rect">
                      <a:avLst/>
                    </a:prstGeom>
                    <a:noFill/>
                  </pic:spPr>
                </pic:pic>
              </a:graphicData>
            </a:graphic>
          </wp:anchor>
        </w:drawing>
      </w:r>
    </w:p>
    <w:p>
      <w:pPr>
        <w:spacing w:after="0" w:line="8"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J. Frank Harrison, III</w:t>
      </w:r>
    </w:p>
    <w:p>
      <w:pPr>
        <w:spacing w:after="0" w:line="25"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Chairman of the Board of Directors</w:t>
      </w:r>
    </w:p>
    <w:p>
      <w:pPr>
        <w:spacing w:after="0" w:line="19"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and Chief Executive Officer</w:t>
      </w:r>
    </w:p>
    <w:p>
      <w:pPr>
        <w:spacing w:after="0" w:line="27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Signature</w:t>
            </w:r>
          </w:p>
        </w:tc>
        <w:tc>
          <w:tcPr>
            <w:tcW w:w="300" w:type="dxa"/>
            <w:vAlign w:val="bottom"/>
          </w:tcPr>
          <w:p>
            <w:pPr>
              <w:spacing w:after="0"/>
              <w:rPr>
                <w:sz w:val="14"/>
                <w:szCs w:val="14"/>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3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243"/>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J. Frank Harrison, III</w:t>
            </w:r>
          </w:p>
        </w:tc>
        <w:tc>
          <w:tcPr>
            <w:tcW w:w="300" w:type="dxa"/>
            <w:vAlign w:val="bottom"/>
          </w:tcPr>
          <w:p>
            <w:pPr>
              <w:spacing w:after="0"/>
              <w:rPr>
                <w:sz w:val="21"/>
                <w:szCs w:val="21"/>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7"/>
              </w:rPr>
              <w:t>Chairman of the Board of Directors and</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2"/>
        </w:trPr>
        <w:tc>
          <w:tcPr>
            <w:tcW w:w="80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 Frank Harrison, III</w:t>
            </w:r>
          </w:p>
        </w:tc>
        <w:tc>
          <w:tcPr>
            <w:tcW w:w="300" w:type="dxa"/>
            <w:vAlign w:val="bottom"/>
          </w:tcPr>
          <w:p>
            <w:pPr>
              <w:spacing w:after="0"/>
              <w:rPr>
                <w:sz w:val="14"/>
                <w:szCs w:val="14"/>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7"/>
              </w:rPr>
              <w:t>Chief Executive Officer</w:t>
            </w:r>
          </w:p>
        </w:tc>
        <w:tc>
          <w:tcPr>
            <w:tcW w:w="18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(Principal Executive Officer)</w:t>
            </w:r>
          </w:p>
        </w:tc>
        <w:tc>
          <w:tcPr>
            <w:tcW w:w="1880" w:type="dxa"/>
            <w:vAlign w:val="bottom"/>
          </w:tcPr>
          <w:p>
            <w:pPr>
              <w:spacing w:after="0"/>
              <w:rPr>
                <w:sz w:val="14"/>
                <w:szCs w:val="1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F. Scott Anthony</w:t>
            </w:r>
          </w:p>
        </w:tc>
        <w:tc>
          <w:tcPr>
            <w:tcW w:w="300" w:type="dxa"/>
            <w:vAlign w:val="bottom"/>
          </w:tcPr>
          <w:p>
            <w:pPr>
              <w:spacing w:after="0"/>
              <w:rPr>
                <w:sz w:val="22"/>
                <w:szCs w:val="22"/>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7"/>
              </w:rPr>
              <w:t>Executive Vice President and 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2"/>
        </w:trPr>
        <w:tc>
          <w:tcPr>
            <w:tcW w:w="80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 Scott Anthony</w:t>
            </w:r>
          </w:p>
        </w:tc>
        <w:tc>
          <w:tcPr>
            <w:tcW w:w="300" w:type="dxa"/>
            <w:vAlign w:val="bottom"/>
          </w:tcPr>
          <w:p>
            <w:pPr>
              <w:spacing w:after="0"/>
              <w:rPr>
                <w:sz w:val="14"/>
                <w:szCs w:val="14"/>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8"/>
              </w:rPr>
              <w:t>(Principal Financial Officer)</w:t>
            </w:r>
          </w:p>
        </w:tc>
        <w:tc>
          <w:tcPr>
            <w:tcW w:w="1880" w:type="dxa"/>
            <w:vAlign w:val="bottom"/>
          </w:tcPr>
          <w:p>
            <w:pPr>
              <w:spacing w:after="0"/>
              <w:rPr>
                <w:sz w:val="14"/>
                <w:szCs w:val="14"/>
                <w:color w:val="auto"/>
              </w:rPr>
            </w:pPr>
          </w:p>
        </w:tc>
      </w:t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Matthew J. Blickley</w:t>
            </w:r>
          </w:p>
        </w:tc>
        <w:tc>
          <w:tcPr>
            <w:tcW w:w="300" w:type="dxa"/>
            <w:vAlign w:val="bottom"/>
          </w:tcPr>
          <w:p>
            <w:pPr>
              <w:spacing w:after="0"/>
              <w:rPr>
                <w:sz w:val="21"/>
                <w:szCs w:val="21"/>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7"/>
              </w:rPr>
              <w:t>Senior Vice President, Financial Planning and</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2"/>
        </w:trPr>
        <w:tc>
          <w:tcPr>
            <w:tcW w:w="80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Matthew J. Blickley</w:t>
            </w:r>
          </w:p>
        </w:tc>
        <w:tc>
          <w:tcPr>
            <w:tcW w:w="300" w:type="dxa"/>
            <w:vAlign w:val="bottom"/>
          </w:tcPr>
          <w:p>
            <w:pPr>
              <w:spacing w:after="0"/>
              <w:rPr>
                <w:sz w:val="14"/>
                <w:szCs w:val="14"/>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7"/>
              </w:rPr>
              <w:t>Chief Accounting Officer</w:t>
            </w:r>
          </w:p>
        </w:tc>
        <w:tc>
          <w:tcPr>
            <w:tcW w:w="18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8"/>
              </w:rPr>
              <w:t>(Principal Accounting Officer)</w:t>
            </w:r>
          </w:p>
        </w:tc>
        <w:tc>
          <w:tcPr>
            <w:tcW w:w="1880" w:type="dxa"/>
            <w:vAlign w:val="bottom"/>
          </w:tcPr>
          <w:p>
            <w:pPr>
              <w:spacing w:after="0"/>
              <w:rPr>
                <w:sz w:val="14"/>
                <w:szCs w:val="14"/>
                <w:color w:val="auto"/>
              </w:rPr>
            </w:pP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Sharon A. Decker</w:t>
            </w:r>
          </w:p>
        </w:tc>
        <w:tc>
          <w:tcPr>
            <w:tcW w:w="300" w:type="dxa"/>
            <w:vAlign w:val="bottom"/>
          </w:tcPr>
          <w:p>
            <w:pPr>
              <w:spacing w:after="0"/>
              <w:rPr>
                <w:sz w:val="22"/>
                <w:szCs w:val="22"/>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0"/>
        </w:trPr>
        <w:tc>
          <w:tcPr>
            <w:tcW w:w="80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Sharon A. Decker</w:t>
            </w:r>
          </w:p>
        </w:tc>
        <w:tc>
          <w:tcPr>
            <w:tcW w:w="3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Morgan H. Everett</w:t>
            </w:r>
          </w:p>
        </w:tc>
        <w:tc>
          <w:tcPr>
            <w:tcW w:w="300" w:type="dxa"/>
            <w:vAlign w:val="bottom"/>
          </w:tcPr>
          <w:p>
            <w:pPr>
              <w:spacing w:after="0"/>
              <w:rPr>
                <w:sz w:val="22"/>
                <w:szCs w:val="22"/>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7"/>
              </w:rPr>
              <w:t>Vice Chair of the Board of Directors</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0"/>
        </w:trPr>
        <w:tc>
          <w:tcPr>
            <w:tcW w:w="80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Morgan H. Everett</w:t>
            </w:r>
          </w:p>
        </w:tc>
        <w:tc>
          <w:tcPr>
            <w:tcW w:w="3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James R. Helvey, III</w:t>
            </w:r>
          </w:p>
        </w:tc>
        <w:tc>
          <w:tcPr>
            <w:tcW w:w="300" w:type="dxa"/>
            <w:vAlign w:val="bottom"/>
          </w:tcPr>
          <w:p>
            <w:pPr>
              <w:spacing w:after="0"/>
              <w:rPr>
                <w:sz w:val="22"/>
                <w:szCs w:val="22"/>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0"/>
        </w:trPr>
        <w:tc>
          <w:tcPr>
            <w:tcW w:w="80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James R. Helvey, III</w:t>
            </w:r>
          </w:p>
        </w:tc>
        <w:tc>
          <w:tcPr>
            <w:tcW w:w="3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William H. Jones</w:t>
            </w:r>
          </w:p>
        </w:tc>
        <w:tc>
          <w:tcPr>
            <w:tcW w:w="300" w:type="dxa"/>
            <w:vAlign w:val="bottom"/>
          </w:tcPr>
          <w:p>
            <w:pPr>
              <w:spacing w:after="0"/>
              <w:rPr>
                <w:sz w:val="22"/>
                <w:szCs w:val="22"/>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0"/>
        </w:trPr>
        <w:tc>
          <w:tcPr>
            <w:tcW w:w="80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William H. Jones</w:t>
            </w:r>
          </w:p>
        </w:tc>
        <w:tc>
          <w:tcPr>
            <w:tcW w:w="3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Umesh M. Kasbekar</w:t>
            </w:r>
          </w:p>
        </w:tc>
        <w:tc>
          <w:tcPr>
            <w:tcW w:w="300" w:type="dxa"/>
            <w:vAlign w:val="bottom"/>
          </w:tcPr>
          <w:p>
            <w:pPr>
              <w:spacing w:after="0"/>
              <w:rPr>
                <w:sz w:val="22"/>
                <w:szCs w:val="22"/>
                <w:color w:val="auto"/>
              </w:rPr>
            </w:pPr>
          </w:p>
        </w:tc>
        <w:tc>
          <w:tcPr>
            <w:tcW w:w="46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Vice Chairman of the Board of Directors</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0"/>
        </w:trPr>
        <w:tc>
          <w:tcPr>
            <w:tcW w:w="80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Umesh M. Kasbekar</w:t>
            </w:r>
          </w:p>
        </w:tc>
        <w:tc>
          <w:tcPr>
            <w:tcW w:w="3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 David M. Katz</w:t>
            </w:r>
          </w:p>
        </w:tc>
        <w:tc>
          <w:tcPr>
            <w:tcW w:w="300" w:type="dxa"/>
            <w:vAlign w:val="bottom"/>
          </w:tcPr>
          <w:p>
            <w:pPr>
              <w:spacing w:after="0"/>
              <w:rPr>
                <w:sz w:val="22"/>
                <w:szCs w:val="22"/>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0"/>
        </w:trPr>
        <w:tc>
          <w:tcPr>
            <w:tcW w:w="80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David M. Katz</w:t>
            </w:r>
          </w:p>
        </w:tc>
        <w:tc>
          <w:tcPr>
            <w:tcW w:w="3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Jennifer K. Mann</w:t>
            </w:r>
          </w:p>
        </w:tc>
        <w:tc>
          <w:tcPr>
            <w:tcW w:w="300" w:type="dxa"/>
            <w:vAlign w:val="bottom"/>
          </w:tcPr>
          <w:p>
            <w:pPr>
              <w:spacing w:after="0"/>
              <w:rPr>
                <w:sz w:val="22"/>
                <w:szCs w:val="22"/>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0"/>
        </w:trPr>
        <w:tc>
          <w:tcPr>
            <w:tcW w:w="80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Jennifer K. Mann</w:t>
            </w:r>
          </w:p>
        </w:tc>
        <w:tc>
          <w:tcPr>
            <w:tcW w:w="3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 James H. Morgan</w:t>
            </w:r>
          </w:p>
        </w:tc>
        <w:tc>
          <w:tcPr>
            <w:tcW w:w="300" w:type="dxa"/>
            <w:vAlign w:val="bottom"/>
          </w:tcPr>
          <w:p>
            <w:pPr>
              <w:spacing w:after="0"/>
              <w:rPr>
                <w:sz w:val="22"/>
                <w:szCs w:val="22"/>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0"/>
        </w:trPr>
        <w:tc>
          <w:tcPr>
            <w:tcW w:w="80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James H. Morgan</w:t>
            </w:r>
          </w:p>
        </w:tc>
        <w:tc>
          <w:tcPr>
            <w:tcW w:w="3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Dennis A. Wicker</w:t>
            </w:r>
          </w:p>
        </w:tc>
        <w:tc>
          <w:tcPr>
            <w:tcW w:w="300" w:type="dxa"/>
            <w:vAlign w:val="bottom"/>
          </w:tcPr>
          <w:p>
            <w:pPr>
              <w:spacing w:after="0"/>
              <w:rPr>
                <w:sz w:val="22"/>
                <w:szCs w:val="22"/>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8"/>
              </w:rPr>
              <w:t>Lead Independent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0"/>
        </w:trPr>
        <w:tc>
          <w:tcPr>
            <w:tcW w:w="80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Dennis A. Wicker</w:t>
            </w:r>
          </w:p>
        </w:tc>
        <w:tc>
          <w:tcPr>
            <w:tcW w:w="3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Richard T. Williams</w:t>
            </w:r>
          </w:p>
        </w:tc>
        <w:tc>
          <w:tcPr>
            <w:tcW w:w="300" w:type="dxa"/>
            <w:vAlign w:val="bottom"/>
          </w:tcPr>
          <w:p>
            <w:pPr>
              <w:spacing w:after="0"/>
              <w:rPr>
                <w:sz w:val="22"/>
                <w:szCs w:val="22"/>
                <w:color w:val="auto"/>
              </w:rPr>
            </w:pPr>
          </w:p>
        </w:tc>
        <w:tc>
          <w:tcPr>
            <w:tcW w:w="4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22, 2023</w:t>
            </w:r>
          </w:p>
        </w:tc>
      </w:tr>
      <w:tr>
        <w:trPr>
          <w:trHeight w:val="160"/>
        </w:trPr>
        <w:tc>
          <w:tcPr>
            <w:tcW w:w="80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Richard T. Williams</w:t>
            </w:r>
          </w:p>
        </w:tc>
        <w:tc>
          <w:tcPr>
            <w:tcW w:w="3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1280"/>
          </w:cols>
          <w:pgMar w:left="300" w:top="632" w:right="319" w:bottom="1440"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tc>
      </w:tr>
      <w:tr>
        <w:trPr>
          <w:trHeight w:val="620"/>
        </w:trPr>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gridSpan w:val="6"/>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COCA-COLA CONSOLIDATED, INC.</w:t>
            </w:r>
          </w:p>
        </w:tc>
        <w:tc>
          <w:tcPr>
            <w:tcW w:w="1560" w:type="dxa"/>
            <w:vAlign w:val="bottom"/>
          </w:tcPr>
          <w:p>
            <w:pPr>
              <w:spacing w:after="0"/>
              <w:rPr>
                <w:sz w:val="24"/>
                <w:szCs w:val="24"/>
                <w:color w:val="auto"/>
              </w:rPr>
            </w:pPr>
          </w:p>
        </w:tc>
      </w:tr>
      <w:tr>
        <w:trPr>
          <w:trHeight w:val="186"/>
        </w:trPr>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60" w:type="dxa"/>
            <w:vAlign w:val="bottom"/>
            <w:gridSpan w:val="6"/>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LISTING OF SUBSIDIARIES AS OF DECEMBER 31, 2022</w:t>
            </w:r>
          </w:p>
        </w:tc>
        <w:tc>
          <w:tcPr>
            <w:tcW w:w="1560" w:type="dxa"/>
            <w:vAlign w:val="bottom"/>
          </w:tcPr>
          <w:p>
            <w:pPr>
              <w:spacing w:after="0"/>
              <w:rPr>
                <w:sz w:val="16"/>
                <w:szCs w:val="16"/>
                <w:color w:val="auto"/>
              </w:rPr>
            </w:pPr>
          </w:p>
        </w:tc>
      </w:tr>
      <w:tr>
        <w:trPr>
          <w:trHeight w:val="353"/>
        </w:trPr>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State or Other</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59"/>
        </w:trPr>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Date of</w:t>
            </w:r>
          </w:p>
        </w:tc>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9"/>
        </w:trPr>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Ownership</w:t>
            </w:r>
          </w:p>
        </w:tc>
      </w:tr>
      <w:tr>
        <w:trPr>
          <w:trHeight w:val="169"/>
        </w:trPr>
        <w:tc>
          <w:tcPr>
            <w:tcW w:w="3260" w:type="dxa"/>
            <w:vAlign w:val="bottom"/>
            <w:gridSpan w:val="2"/>
          </w:tcPr>
          <w:p>
            <w:pPr>
              <w:ind w:left="1440"/>
              <w:spacing w:after="0"/>
              <w:rPr>
                <w:sz w:val="20"/>
                <w:szCs w:val="20"/>
                <w:color w:val="auto"/>
              </w:rPr>
            </w:pPr>
            <w:r>
              <w:rPr>
                <w:rFonts w:ascii="Times New Roman" w:cs="Times New Roman" w:eastAsia="Times New Roman" w:hAnsi="Times New Roman"/>
                <w:sz w:val="11"/>
                <w:szCs w:val="11"/>
                <w:b w:val="1"/>
                <w:bCs w:val="1"/>
                <w:color w:val="auto"/>
              </w:rPr>
              <w:t>Entity</w:t>
            </w:r>
          </w:p>
        </w:tc>
        <w:tc>
          <w:tcPr>
            <w:tcW w:w="1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or Organization</w:t>
            </w:r>
          </w:p>
        </w:tc>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or Organization</w:t>
            </w:r>
          </w:p>
        </w:tc>
        <w:tc>
          <w:tcPr>
            <w:tcW w:w="3120" w:type="dxa"/>
            <w:vAlign w:val="bottom"/>
            <w:gridSpan w:val="2"/>
          </w:tcPr>
          <w:p>
            <w:pPr>
              <w:ind w:left="1260"/>
              <w:spacing w:after="0"/>
              <w:rPr>
                <w:sz w:val="20"/>
                <w:szCs w:val="20"/>
                <w:color w:val="auto"/>
              </w:rPr>
            </w:pPr>
            <w:r>
              <w:rPr>
                <w:rFonts w:ascii="Times New Roman" w:cs="Times New Roman" w:eastAsia="Times New Roman" w:hAnsi="Times New Roman"/>
                <w:sz w:val="11"/>
                <w:szCs w:val="11"/>
                <w:b w:val="1"/>
                <w:bCs w:val="1"/>
                <w:color w:val="auto"/>
              </w:rPr>
              <w:t>Owned By</w:t>
            </w:r>
          </w:p>
        </w:tc>
        <w:tc>
          <w:tcPr>
            <w:tcW w:w="15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Percentage</w:t>
            </w:r>
          </w:p>
        </w:tc>
      </w:tr>
      <w:tr>
        <w:trPr>
          <w:trHeight w:val="159"/>
        </w:trPr>
        <w:tc>
          <w:tcPr>
            <w:tcW w:w="3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CCBCC, Inc.</w:t>
            </w:r>
          </w:p>
        </w:tc>
        <w:tc>
          <w:tcPr>
            <w:tcW w:w="8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Delaware</w:t>
            </w:r>
          </w:p>
        </w:tc>
        <w:tc>
          <w:tcPr>
            <w:tcW w:w="6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12/20/1993</w:t>
            </w:r>
          </w:p>
        </w:tc>
        <w:tc>
          <w:tcPr>
            <w:tcW w:w="80" w:type="dxa"/>
            <w:vAlign w:val="bottom"/>
            <w:tcBorders>
              <w:top w:val="single" w:sz="8" w:color="CCEEFF"/>
            </w:tcBorders>
            <w:shd w:val="clear" w:color="auto" w:fill="CCEEFF"/>
          </w:tcPr>
          <w:p>
            <w:pPr>
              <w:spacing w:after="0"/>
              <w:rPr>
                <w:sz w:val="13"/>
                <w:szCs w:val="13"/>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Coca-Cola Consolidated, Inc.</w:t>
            </w: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CCBCC Operations, LLC</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Delaware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10/15/2003</w:t>
            </w:r>
          </w:p>
        </w:tc>
        <w:tc>
          <w:tcPr>
            <w:tcW w:w="8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Coca-Cola Consolidated, Inc.</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6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Chesapeake Treatment Company, LLC</w:t>
            </w:r>
          </w:p>
        </w:tc>
        <w:tc>
          <w:tcPr>
            <w:tcW w:w="1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North Carolina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6/5/1995</w:t>
            </w:r>
          </w:p>
        </w:tc>
        <w:tc>
          <w:tcPr>
            <w:tcW w:w="8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CCBCC Operations,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Consolidated Beverage Co.</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Delaware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1/8/1997</w:t>
            </w:r>
          </w:p>
        </w:tc>
        <w:tc>
          <w:tcPr>
            <w:tcW w:w="8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Coca-Cola Consolidated, Inc.</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6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Consolidated Real Estate Group, LLC</w:t>
            </w:r>
          </w:p>
        </w:tc>
        <w:tc>
          <w:tcPr>
            <w:tcW w:w="1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North Carolina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1/4/2000</w:t>
            </w:r>
          </w:p>
        </w:tc>
        <w:tc>
          <w:tcPr>
            <w:tcW w:w="8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Coca-Cola Consolidated, Inc.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Data Ventures, Inc.</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North Carolina</w:t>
            </w:r>
          </w:p>
        </w:tc>
        <w:tc>
          <w:tcPr>
            <w:tcW w:w="1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9/25/2006</w:t>
            </w:r>
          </w:p>
        </w:tc>
        <w:tc>
          <w:tcPr>
            <w:tcW w:w="8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Coca-Cola Consolidated, Inc.</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6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Heath Oil Co., Inc.</w:t>
            </w:r>
          </w:p>
        </w:tc>
        <w:tc>
          <w:tcPr>
            <w:tcW w:w="1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South Carolina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9/9/1986</w:t>
            </w:r>
          </w:p>
        </w:tc>
        <w:tc>
          <w:tcPr>
            <w:tcW w:w="8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CCBCC Operations,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TXN, Inc.</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Delaware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1/3/1990</w:t>
            </w:r>
          </w:p>
        </w:tc>
        <w:tc>
          <w:tcPr>
            <w:tcW w:w="8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Data Ventures, Inc.</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6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Tennessee Soft Drink Production Company</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Tennessee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12/22/1988</w:t>
            </w:r>
          </w:p>
        </w:tc>
        <w:tc>
          <w:tcPr>
            <w:tcW w:w="8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CCBCC Operations,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CCBC of Wilmington, Inc.</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Delaware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6/17/1993</w:t>
            </w:r>
          </w:p>
        </w:tc>
        <w:tc>
          <w:tcPr>
            <w:tcW w:w="8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CCBCC Operations,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6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Equipment Reutilization Solutions, LLC</w:t>
            </w:r>
          </w:p>
        </w:tc>
        <w:tc>
          <w:tcPr>
            <w:tcW w:w="1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North Carolina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4/12/2010</w:t>
            </w:r>
          </w:p>
        </w:tc>
        <w:tc>
          <w:tcPr>
            <w:tcW w:w="8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CCBCC Operations,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Red Classic Services, LLC</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North Carolina</w:t>
            </w:r>
          </w:p>
        </w:tc>
        <w:tc>
          <w:tcPr>
            <w:tcW w:w="1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11/19/2010</w:t>
            </w:r>
          </w:p>
        </w:tc>
        <w:tc>
          <w:tcPr>
            <w:tcW w:w="8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Coca-Cola Consolidated, Inc.</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6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Red Classic Equipment, LLC</w:t>
            </w:r>
          </w:p>
        </w:tc>
        <w:tc>
          <w:tcPr>
            <w:tcW w:w="1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North Carolina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11/19/2010</w:t>
            </w:r>
          </w:p>
        </w:tc>
        <w:tc>
          <w:tcPr>
            <w:tcW w:w="8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Red Classic Services,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Red Classic Transportation Services, LLC</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North Carolina</w:t>
            </w:r>
          </w:p>
        </w:tc>
        <w:tc>
          <w:tcPr>
            <w:tcW w:w="1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11/19/2010</w:t>
            </w:r>
          </w:p>
        </w:tc>
        <w:tc>
          <w:tcPr>
            <w:tcW w:w="8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Red Classic Services,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6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Red Classic Transit, LLC</w:t>
            </w:r>
          </w:p>
        </w:tc>
        <w:tc>
          <w:tcPr>
            <w:tcW w:w="1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North Carolina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11/19/2010</w:t>
            </w:r>
          </w:p>
        </w:tc>
        <w:tc>
          <w:tcPr>
            <w:tcW w:w="8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Red Classic Transportation Services,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47"/>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Red Classic Contractor, LLC</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North Carolina</w:t>
            </w:r>
          </w:p>
        </w:tc>
        <w:tc>
          <w:tcPr>
            <w:tcW w:w="1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11/19/2010</w:t>
            </w:r>
          </w:p>
        </w:tc>
        <w:tc>
          <w:tcPr>
            <w:tcW w:w="80" w:type="dxa"/>
            <w:vAlign w:val="bottom"/>
          </w:tcPr>
          <w:p>
            <w:pPr>
              <w:spacing w:after="0"/>
              <w:rPr>
                <w:sz w:val="12"/>
                <w:szCs w:val="1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Red Classic Transportation Services,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bl>
    <w:p>
      <w:pPr>
        <w:sectPr>
          <w:pgSz w:w="11900" w:h="16838" w:orient="portrait"/>
          <w:cols w:equalWidth="0" w:num="1">
            <w:col w:w="11280"/>
          </w:cols>
          <w:pgMar w:left="300" w:top="123" w:right="31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4"/>
          <w:szCs w:val="14"/>
          <w:b w:val="1"/>
          <w:bCs w:val="1"/>
          <w:color w:val="auto"/>
        </w:rPr>
        <w:t>Exhibit 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ind w:right="80"/>
        <w:spacing w:after="0" w:line="188" w:lineRule="exact"/>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 (No. 333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251358) and on Form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 (No. 333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181345) of Coca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Cola Consolidated, Inc. of our report dated February 22, 2023 relating to the financial statements, the financial statement schedule and the effectiveness of internal control over financial reporting, which appears in this Form 10-K.</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2023</w:t>
      </w:r>
    </w:p>
    <w:p>
      <w:pPr>
        <w:sectPr>
          <w:pgSz w:w="11900" w:h="16838" w:orient="portrait"/>
          <w:cols w:equalWidth="0" w:num="1">
            <w:col w:w="11280"/>
          </w:cols>
          <w:pgMar w:left="300" w:top="123" w:right="31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 Frank Harrison, III, certify that:</w:t>
      </w:r>
    </w:p>
    <w:p>
      <w:pPr>
        <w:spacing w:after="0" w:line="200" w:lineRule="exact"/>
        <w:rPr>
          <w:sz w:val="20"/>
          <w:szCs w:val="20"/>
          <w:color w:val="auto"/>
        </w:rPr>
      </w:pPr>
    </w:p>
    <w:p>
      <w:pPr>
        <w:ind w:left="760" w:hanging="755"/>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Coca-Cola Consolidated, Inc.;</w:t>
      </w:r>
    </w:p>
    <w:p>
      <w:pPr>
        <w:spacing w:after="0" w:line="199" w:lineRule="exact"/>
        <w:rPr>
          <w:rFonts w:ascii="Times New Roman" w:cs="Times New Roman" w:eastAsia="Times New Roman" w:hAnsi="Times New Roman"/>
          <w:sz w:val="14"/>
          <w:szCs w:val="14"/>
          <w:color w:val="auto"/>
        </w:rPr>
      </w:pPr>
    </w:p>
    <w:p>
      <w:pPr>
        <w:ind w:left="760" w:right="480" w:hanging="755"/>
        <w:spacing w:after="0" w:line="287" w:lineRule="auto"/>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760" w:right="560" w:hanging="755"/>
        <w:spacing w:after="0" w:line="287" w:lineRule="auto"/>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760" w:right="120" w:hanging="755"/>
        <w:spacing w:after="0" w:line="287" w:lineRule="auto"/>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1540" w:hanging="771"/>
        <w:spacing w:after="0" w:line="270" w:lineRule="auto"/>
        <w:tabs>
          <w:tab w:leader="none" w:pos="153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540" w:right="60" w:hanging="771"/>
        <w:spacing w:after="0" w:line="270" w:lineRule="auto"/>
        <w:tabs>
          <w:tab w:leader="none" w:pos="153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540" w:right="400" w:hanging="771"/>
        <w:spacing w:after="0" w:line="287" w:lineRule="auto"/>
        <w:tabs>
          <w:tab w:leader="none" w:pos="153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540" w:right="40" w:hanging="771"/>
        <w:spacing w:after="0" w:line="270" w:lineRule="auto"/>
        <w:tabs>
          <w:tab w:leader="none" w:pos="153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4"/>
          <w:szCs w:val="14"/>
          <w:color w:val="auto"/>
        </w:rPr>
      </w:pPr>
    </w:p>
    <w:p>
      <w:pPr>
        <w:ind w:left="760" w:right="280" w:hanging="755"/>
        <w:spacing w:after="0" w:line="287" w:lineRule="auto"/>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540" w:right="20" w:hanging="771"/>
        <w:spacing w:after="0" w:line="287" w:lineRule="auto"/>
        <w:tabs>
          <w:tab w:leader="none" w:pos="153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520" w:hanging="751"/>
        <w:spacing w:after="0"/>
        <w:tabs>
          <w:tab w:leader="none" w:pos="15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1760"/>
        <w:spacing w:after="0"/>
        <w:tabs>
          <w:tab w:leader="none" w:pos="5140" w:val="left"/>
        </w:tabs>
        <w:rPr>
          <w:sz w:val="20"/>
          <w:szCs w:val="20"/>
          <w:color w:val="auto"/>
        </w:rPr>
      </w:pPr>
      <w:r>
        <w:rPr>
          <w:rFonts w:ascii="Times New Roman" w:cs="Times New Roman" w:eastAsia="Times New Roman" w:hAnsi="Times New Roman"/>
          <w:sz w:val="14"/>
          <w:szCs w:val="14"/>
          <w:color w:val="auto"/>
        </w:rPr>
        <w:t>Date: February 22, 2023</w:t>
      </w:r>
      <w:r>
        <w:rPr>
          <w:sz w:val="20"/>
          <w:szCs w:val="20"/>
          <w:color w:val="auto"/>
        </w:rPr>
        <w:tab/>
      </w:r>
      <w:r>
        <w:rPr>
          <w:rFonts w:ascii="Times New Roman" w:cs="Times New Roman" w:eastAsia="Times New Roman" w:hAnsi="Times New Roman"/>
          <w:sz w:val="14"/>
          <w:szCs w:val="14"/>
          <w:color w:val="auto"/>
        </w:rPr>
        <w:t>/s/ J. Frank Harrison,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220281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3">
                      <a:extLst>
                        <a:ext uri="{28A0092B-C50C-407E-A947-70E740481C1C}"/>
                      </a:extLst>
                    </a:blip>
                    <a:srcRect/>
                    <a:stretch>
                      <a:fillRect/>
                    </a:stretch>
                  </pic:blipFill>
                  <pic:spPr bwMode="auto">
                    <a:xfrm>
                      <a:off x="0" y="0"/>
                      <a:ext cx="2202815" cy="698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J. Frank Harrison, III</w:t>
      </w:r>
    </w:p>
    <w:p>
      <w:pPr>
        <w:ind w:left="5160"/>
        <w:spacing w:after="0" w:line="221" w:lineRule="auto"/>
        <w:rPr>
          <w:sz w:val="20"/>
          <w:szCs w:val="20"/>
          <w:color w:val="auto"/>
        </w:rPr>
      </w:pPr>
      <w:r>
        <w:rPr>
          <w:rFonts w:ascii="Times New Roman" w:cs="Times New Roman" w:eastAsia="Times New Roman" w:hAnsi="Times New Roman"/>
          <w:sz w:val="14"/>
          <w:szCs w:val="14"/>
          <w:color w:val="auto"/>
        </w:rPr>
        <w:t>Chairman of the Board of Directors and</w:t>
      </w:r>
    </w:p>
    <w:p>
      <w:pPr>
        <w:jc w:val="center"/>
        <w:ind w:left="36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727" w:right="31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 Scott Anthony, certify that:</w:t>
      </w:r>
    </w:p>
    <w:p>
      <w:pPr>
        <w:spacing w:after="0" w:line="185" w:lineRule="exact"/>
        <w:rPr>
          <w:sz w:val="20"/>
          <w:szCs w:val="20"/>
          <w:color w:val="auto"/>
        </w:rPr>
      </w:pPr>
    </w:p>
    <w:p>
      <w:pPr>
        <w:ind w:left="760" w:hanging="755"/>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Coca-Cola Consolidated, Inc.;</w:t>
      </w:r>
    </w:p>
    <w:p>
      <w:pPr>
        <w:spacing w:after="0" w:line="199" w:lineRule="exact"/>
        <w:rPr>
          <w:rFonts w:ascii="Times New Roman" w:cs="Times New Roman" w:eastAsia="Times New Roman" w:hAnsi="Times New Roman"/>
          <w:sz w:val="14"/>
          <w:szCs w:val="14"/>
          <w:color w:val="auto"/>
        </w:rPr>
      </w:pPr>
    </w:p>
    <w:p>
      <w:pPr>
        <w:ind w:left="760" w:right="480" w:hanging="755"/>
        <w:spacing w:after="0" w:line="287" w:lineRule="auto"/>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760" w:right="560" w:hanging="755"/>
        <w:spacing w:after="0" w:line="287" w:lineRule="auto"/>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760" w:right="120" w:hanging="755"/>
        <w:spacing w:after="0" w:line="287" w:lineRule="auto"/>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1540" w:hanging="771"/>
        <w:spacing w:after="0" w:line="270" w:lineRule="auto"/>
        <w:tabs>
          <w:tab w:leader="none" w:pos="1533"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540" w:right="60" w:hanging="771"/>
        <w:spacing w:after="0" w:line="270" w:lineRule="auto"/>
        <w:tabs>
          <w:tab w:leader="none" w:pos="153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540" w:right="400" w:hanging="771"/>
        <w:spacing w:after="0" w:line="287" w:lineRule="auto"/>
        <w:tabs>
          <w:tab w:leader="none" w:pos="1533"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540" w:right="40" w:hanging="771"/>
        <w:spacing w:after="0" w:line="270" w:lineRule="auto"/>
        <w:tabs>
          <w:tab w:leader="none" w:pos="153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4"/>
          <w:szCs w:val="14"/>
          <w:color w:val="auto"/>
        </w:rPr>
      </w:pPr>
    </w:p>
    <w:p>
      <w:pPr>
        <w:ind w:left="760" w:right="280" w:hanging="755"/>
        <w:spacing w:after="0" w:line="287" w:lineRule="auto"/>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540" w:right="20" w:hanging="771"/>
        <w:spacing w:after="0" w:line="287" w:lineRule="auto"/>
        <w:tabs>
          <w:tab w:leader="none" w:pos="1533"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520" w:hanging="751"/>
        <w:spacing w:after="0"/>
        <w:tabs>
          <w:tab w:leader="none" w:pos="152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1720"/>
        <w:spacing w:after="0"/>
        <w:tabs>
          <w:tab w:leader="none" w:pos="5240" w:val="left"/>
        </w:tabs>
        <w:rPr>
          <w:sz w:val="20"/>
          <w:szCs w:val="20"/>
          <w:color w:val="auto"/>
        </w:rPr>
      </w:pPr>
      <w:r>
        <w:rPr>
          <w:rFonts w:ascii="Times New Roman" w:cs="Times New Roman" w:eastAsia="Times New Roman" w:hAnsi="Times New Roman"/>
          <w:sz w:val="14"/>
          <w:szCs w:val="14"/>
          <w:color w:val="auto"/>
        </w:rPr>
        <w:t>Date: February 22, 2023</w:t>
      </w:r>
      <w:r>
        <w:rPr>
          <w:sz w:val="20"/>
          <w:szCs w:val="20"/>
          <w:color w:val="auto"/>
        </w:rPr>
        <w:tab/>
      </w:r>
      <w:r>
        <w:rPr>
          <w:rFonts w:ascii="Times New Roman" w:cs="Times New Roman" w:eastAsia="Times New Roman" w:hAnsi="Times New Roman"/>
          <w:sz w:val="13"/>
          <w:szCs w:val="13"/>
          <w:color w:val="auto"/>
        </w:rPr>
        <w:t>/s/ F. Scott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14605</wp:posOffset>
            </wp:positionV>
            <wp:extent cx="245237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4">
                      <a:extLst>
                        <a:ext uri="{28A0092B-C50C-407E-A947-70E740481C1C}"/>
                      </a:extLst>
                    </a:blip>
                    <a:srcRect/>
                    <a:stretch>
                      <a:fillRect/>
                    </a:stretch>
                  </pic:blipFill>
                  <pic:spPr bwMode="auto">
                    <a:xfrm>
                      <a:off x="0" y="0"/>
                      <a:ext cx="2452370" cy="6985"/>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F. Scott Anthony</w:t>
      </w:r>
    </w:p>
    <w:p>
      <w:pPr>
        <w:ind w:left="5260"/>
        <w:spacing w:after="0" w:line="221" w:lineRule="auto"/>
        <w:rPr>
          <w:sz w:val="20"/>
          <w:szCs w:val="20"/>
          <w:color w:val="auto"/>
        </w:rPr>
      </w:pPr>
      <w:r>
        <w:rPr>
          <w:rFonts w:ascii="Times New Roman" w:cs="Times New Roman" w:eastAsia="Times New Roman" w:hAnsi="Times New Roman"/>
          <w:sz w:val="14"/>
          <w:szCs w:val="14"/>
          <w:color w:val="auto"/>
        </w:rPr>
        <w:t>Executive Vice President and</w:t>
      </w:r>
    </w:p>
    <w:p>
      <w:pPr>
        <w:ind w:left="526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727" w:right="31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Coca-Cola Consolidated, Inc. (the “Company”) for the fiscal year ended December 31, 2022, as filed with the United States Securities and Exchange Commission on the date hereof (the “Report”), we, J. Frank Harrison, III, Chairman of the Board of Directors and Chief Executive Officer of the Company, and F. Scott Anthony, Executive Vice President and Chief Financial Officer of the Company, certify, pursuant to 18 U.S.C. Section 1350, as adopted pursuant to Section 906 of the Sarbanes-Oxley Act of 2002, that:</w:t>
      </w:r>
    </w:p>
    <w:p>
      <w:pPr>
        <w:spacing w:after="0" w:line="157" w:lineRule="exact"/>
        <w:rPr>
          <w:sz w:val="20"/>
          <w:szCs w:val="20"/>
          <w:color w:val="auto"/>
        </w:rPr>
      </w:pPr>
    </w:p>
    <w:p>
      <w:pPr>
        <w:ind w:left="260" w:hanging="255"/>
        <w:spacing w:after="0"/>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 Frank Harrison,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7172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5">
                      <a:extLst>
                        <a:ext uri="{28A0092B-C50C-407E-A947-70E740481C1C}"/>
                      </a:extLst>
                    </a:blip>
                    <a:srcRect/>
                    <a:stretch>
                      <a:fillRect/>
                    </a:stretch>
                  </pic:blipFill>
                  <pic:spPr bwMode="auto">
                    <a:xfrm>
                      <a:off x="0" y="0"/>
                      <a:ext cx="2371725"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 Frank Harrison, III</w:t>
      </w:r>
    </w:p>
    <w:p>
      <w:pPr>
        <w:ind w:left="20"/>
        <w:spacing w:after="0" w:line="221" w:lineRule="auto"/>
        <w:rPr>
          <w:sz w:val="20"/>
          <w:szCs w:val="20"/>
          <w:color w:val="auto"/>
        </w:rPr>
      </w:pPr>
      <w:r>
        <w:rPr>
          <w:rFonts w:ascii="Times New Roman" w:cs="Times New Roman" w:eastAsia="Times New Roman" w:hAnsi="Times New Roman"/>
          <w:sz w:val="14"/>
          <w:szCs w:val="14"/>
          <w:color w:val="auto"/>
        </w:rPr>
        <w:t>Chairman of the Board of Directors and</w:t>
      </w: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22, 2023</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F. Scott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7172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6">
                      <a:extLst>
                        <a:ext uri="{28A0092B-C50C-407E-A947-70E740481C1C}"/>
                      </a:extLst>
                    </a:blip>
                    <a:srcRect/>
                    <a:stretch>
                      <a:fillRect/>
                    </a:stretch>
                  </pic:blipFill>
                  <pic:spPr bwMode="auto">
                    <a:xfrm>
                      <a:off x="0" y="0"/>
                      <a:ext cx="2371725"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 Scott Anthony</w:t>
      </w:r>
    </w:p>
    <w:p>
      <w:pPr>
        <w:ind w:left="20"/>
        <w:spacing w:after="0" w:line="205" w:lineRule="auto"/>
        <w:rPr>
          <w:sz w:val="20"/>
          <w:szCs w:val="20"/>
          <w:color w:val="auto"/>
        </w:rPr>
      </w:pPr>
      <w:r>
        <w:rPr>
          <w:rFonts w:ascii="Times New Roman" w:cs="Times New Roman" w:eastAsia="Times New Roman" w:hAnsi="Times New Roman"/>
          <w:sz w:val="14"/>
          <w:szCs w:val="14"/>
          <w:color w:val="auto"/>
        </w:rPr>
        <w:t>Executive Vice President and</w:t>
      </w: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22, 2023</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Roman"/>
      <w:start w:val="2"/>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lowerRoman"/>
      <w:start w:val="1"/>
    </w:lvl>
  </w:abstractNum>
  <w:abstractNum w:abstractNumId="16">
    <w:nsid w:val="419AC241"/>
    <w:multiLevelType w:val="hybridMultilevel"/>
    <w:lvl w:ilvl="0">
      <w:lvlJc w:val="left"/>
      <w:lvlText w:val="%1."/>
      <w:numFmt w:val="decimal"/>
      <w:start w:val="2"/>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3"/>
    </w:lvl>
  </w:abstractNum>
  <w:abstractNum w:abstractNumId="19">
    <w:nsid w:val="5072367"/>
    <w:multiLevelType w:val="hybridMultilevel"/>
    <w:lvl w:ilvl="0">
      <w:lvlJc w:val="left"/>
      <w:lvlText w:val="%1."/>
      <w:numFmt w:val="decimal"/>
      <w:start w:val="4"/>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5"/>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7"/>
    </w:lvl>
  </w:abstractNum>
  <w:abstractNum w:abstractNumId="24">
    <w:nsid w:val="2463B9EA"/>
    <w:multiLevelType w:val="hybridMultilevel"/>
    <w:lvl w:ilvl="0">
      <w:lvlJc w:val="left"/>
      <w:lvlText w:val="%1."/>
      <w:numFmt w:val="decimal"/>
      <w:start w:val="9"/>
    </w:lvl>
  </w:abstractNum>
  <w:abstractNum w:abstractNumId="25">
    <w:nsid w:val="5E884ADC"/>
    <w:multiLevelType w:val="hybridMultilevel"/>
    <w:lvl w:ilvl="0">
      <w:lvlJc w:val="left"/>
      <w:lvlText w:val="%1."/>
      <w:numFmt w:val="decimal"/>
      <w:start w:val="10"/>
    </w:lvl>
  </w:abstractNum>
  <w:abstractNum w:abstractNumId="26">
    <w:nsid w:val="51EAD36B"/>
    <w:multiLevelType w:val="hybridMultilevel"/>
    <w:lvl w:ilvl="0">
      <w:lvlJc w:val="left"/>
      <w:lvlText w:val="%1."/>
      <w:numFmt w:val="decimal"/>
      <w:start w:val="11"/>
    </w:lvl>
  </w:abstractNum>
  <w:abstractNum w:abstractNumId="27">
    <w:nsid w:val="2D517796"/>
    <w:multiLevelType w:val="hybridMultilevel"/>
    <w:lvl w:ilvl="0">
      <w:lvlJc w:val="left"/>
      <w:lvlText w:val="%1."/>
      <w:numFmt w:val="decimal"/>
      <w:start w:val="13"/>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5"/>
    </w:lvl>
  </w:abstractNum>
  <w:abstractNum w:abstractNumId="30">
    <w:nsid w:val="3855585C"/>
    <w:multiLevelType w:val="hybridMultilevel"/>
    <w:lvl w:ilvl="0">
      <w:lvlJc w:val="left"/>
      <w:lvlText w:val="%1."/>
      <w:numFmt w:val="decimal"/>
      <w:start w:val="16"/>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9"/>
    </w:lvl>
  </w:abstractNum>
  <w:abstractNum w:abstractNumId="34">
    <w:nsid w:val="1D4ED43B"/>
    <w:multiLevelType w:val="hybridMultilevel"/>
    <w:lvl w:ilvl="0">
      <w:lvlJc w:val="left"/>
      <w:lvlText w:val="%1."/>
      <w:numFmt w:val="decimal"/>
      <w:start w:val="20"/>
    </w:lvl>
  </w:abstractNum>
  <w:abstractNum w:abstractNumId="35">
    <w:nsid w:val="725A06FB"/>
    <w:multiLevelType w:val="hybridMultilevel"/>
    <w:lvl w:ilvl="0">
      <w:lvlJc w:val="left"/>
      <w:lvlText w:val="%1."/>
      <w:numFmt w:val="decimal"/>
      <w:start w:val="2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lowerRoman"/>
      <w:start w:val="1"/>
    </w:lvl>
  </w:abstractNum>
  <w:abstractNum w:abstractNumId="38">
    <w:nsid w:val="7A6D8D3C"/>
    <w:multiLevelType w:val="hybridMultilevel"/>
    <w:lvl w:ilvl="0">
      <w:lvlJc w:val="left"/>
      <w:lvlText w:val="(%1)"/>
      <w:numFmt w:val="lowerRoman"/>
      <w:start w:val="3"/>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decimal"/>
      <w:start w:val="2"/>
    </w:lvl>
  </w:abstractNum>
  <w:abstractNum w:abstractNumId="41">
    <w:nsid w:val="6DE91B18"/>
    <w:multiLevelType w:val="hybridMultilevel"/>
    <w:lvl w:ilvl="0">
      <w:lvlJc w:val="left"/>
      <w:lvlText w:val="%1."/>
      <w:numFmt w:val="decimal"/>
      <w:start w:val="3"/>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lowerLetter"/>
      <w:start w:val="2"/>
    </w:lvl>
  </w:abstractNum>
  <w:abstractNum w:abstractNumId="48">
    <w:nsid w:val="3DC240FB"/>
    <w:multiLevelType w:val="hybridMultilevel"/>
    <w:lvl w:ilvl="0">
      <w:lvlJc w:val="left"/>
      <w:lvlText w:val="(%1)"/>
      <w:numFmt w:val="lowerLetter"/>
      <w:start w:val="3"/>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8" Type="http://schemas.openxmlformats.org/officeDocument/2006/relationships/image" Target="media/image122.png"/><Relationship Id="rId151"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76"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200" Type="http://schemas.openxmlformats.org/officeDocument/2006/relationships/image" Target="media/image129.png"/><Relationship Id="rId201" Type="http://schemas.openxmlformats.org/officeDocument/2006/relationships/image" Target="media/image130.png"/><Relationship Id="rId202" Type="http://schemas.openxmlformats.org/officeDocument/2006/relationships/image" Target="media/image131.png"/><Relationship Id="rId203" Type="http://schemas.openxmlformats.org/officeDocument/2006/relationships/image" Target="media/image132.png"/><Relationship Id="rId204" Type="http://schemas.openxmlformats.org/officeDocument/2006/relationships/image" Target="media/image133.png"/><Relationship Id="rId205" Type="http://schemas.openxmlformats.org/officeDocument/2006/relationships/image" Target="media/image134.png"/><Relationship Id="rId206" Type="http://schemas.openxmlformats.org/officeDocument/2006/relationships/image" Target="media/image135.png"/><Relationship Id="rId207" Type="http://schemas.openxmlformats.org/officeDocument/2006/relationships/image" Target="media/image136.png"/><Relationship Id="rId208" Type="http://schemas.openxmlformats.org/officeDocument/2006/relationships/image" Target="media/image137.png"/><Relationship Id="rId209" Type="http://schemas.openxmlformats.org/officeDocument/2006/relationships/image" Target="media/image138.png"/><Relationship Id="rId210" Type="http://schemas.openxmlformats.org/officeDocument/2006/relationships/image" Target="media/image139.png"/><Relationship Id="rId211" Type="http://schemas.openxmlformats.org/officeDocument/2006/relationships/image" Target="media/image140.png"/><Relationship Id="rId212" Type="http://schemas.openxmlformats.org/officeDocument/2006/relationships/image" Target="media/image141.png"/><Relationship Id="rId213" Type="http://schemas.openxmlformats.org/officeDocument/2006/relationships/image" Target="media/image142.png"/><Relationship Id="rId214" Type="http://schemas.openxmlformats.org/officeDocument/2006/relationships/image" Target="media/image143.png"/><Relationship Id="rId215" Type="http://schemas.openxmlformats.org/officeDocument/2006/relationships/image" Target="media/image144.png"/><Relationship Id="rId216" Type="http://schemas.openxmlformats.org/officeDocument/2006/relationships/image" Target="media/image145.png"/><Relationship Id="rId217" Type="http://schemas.openxmlformats.org/officeDocument/2006/relationships/image" Target="media/image146.png"/><Relationship Id="rId218" Type="http://schemas.openxmlformats.org/officeDocument/2006/relationships/image" Target="media/image147.png"/><Relationship Id="rId219" Type="http://schemas.openxmlformats.org/officeDocument/2006/relationships/image" Target="media/image148.png"/><Relationship Id="rId220" Type="http://schemas.openxmlformats.org/officeDocument/2006/relationships/image" Target="media/image149.png"/><Relationship Id="rId221" Type="http://schemas.openxmlformats.org/officeDocument/2006/relationships/image" Target="media/image150.png"/><Relationship Id="rId222" Type="http://schemas.openxmlformats.org/officeDocument/2006/relationships/image" Target="media/image151.png"/><Relationship Id="rId223" Type="http://schemas.openxmlformats.org/officeDocument/2006/relationships/image" Target="media/image152.png"/><Relationship Id="rId224" Type="http://schemas.openxmlformats.org/officeDocument/2006/relationships/image" Target="media/image153.png"/><Relationship Id="rId225" Type="http://schemas.openxmlformats.org/officeDocument/2006/relationships/image" Target="media/image154.png"/><Relationship Id="rId226" Type="http://schemas.openxmlformats.org/officeDocument/2006/relationships/image" Target="media/image155.png"/><Relationship Id="rId227" Type="http://schemas.openxmlformats.org/officeDocument/2006/relationships/image" Target="media/image156.png"/><Relationship Id="rId228" Type="http://schemas.openxmlformats.org/officeDocument/2006/relationships/image" Target="media/image157.png"/><Relationship Id="rId229" Type="http://schemas.openxmlformats.org/officeDocument/2006/relationships/image" Target="media/image158.png"/><Relationship Id="rId230" Type="http://schemas.openxmlformats.org/officeDocument/2006/relationships/image" Target="media/image159.png"/><Relationship Id="rId231" Type="http://schemas.openxmlformats.org/officeDocument/2006/relationships/image" Target="media/image160.png"/><Relationship Id="rId232" Type="http://schemas.openxmlformats.org/officeDocument/2006/relationships/image" Target="media/image161.png"/><Relationship Id="rId233" Type="http://schemas.openxmlformats.org/officeDocument/2006/relationships/image" Target="media/image162.png"/><Relationship Id="rId234" Type="http://schemas.openxmlformats.org/officeDocument/2006/relationships/image" Target="media/image163.png"/><Relationship Id="rId235" Type="http://schemas.openxmlformats.org/officeDocument/2006/relationships/image" Target="media/image164.png"/><Relationship Id="rId236" Type="http://schemas.openxmlformats.org/officeDocument/2006/relationships/image" Target="media/image165.png"/><Relationship Id="rId237" Type="http://schemas.openxmlformats.org/officeDocument/2006/relationships/image" Target="media/image166.png"/><Relationship Id="rId238" Type="http://schemas.openxmlformats.org/officeDocument/2006/relationships/image" Target="media/image167.png"/><Relationship Id="rId239" Type="http://schemas.openxmlformats.org/officeDocument/2006/relationships/image" Target="media/image168.png"/><Relationship Id="rId240" Type="http://schemas.openxmlformats.org/officeDocument/2006/relationships/image" Target="media/image169.png"/><Relationship Id="rId241" Type="http://schemas.openxmlformats.org/officeDocument/2006/relationships/image" Target="media/image170.png"/><Relationship Id="rId242" Type="http://schemas.openxmlformats.org/officeDocument/2006/relationships/image" Target="media/image171.png"/><Relationship Id="rId243" Type="http://schemas.openxmlformats.org/officeDocument/2006/relationships/image" Target="media/image172.png"/><Relationship Id="rId244" Type="http://schemas.openxmlformats.org/officeDocument/2006/relationships/image" Target="media/image173.png"/><Relationship Id="rId245" Type="http://schemas.openxmlformats.org/officeDocument/2006/relationships/image" Target="media/image174.png"/><Relationship Id="rId246" Type="http://schemas.openxmlformats.org/officeDocument/2006/relationships/image" Target="media/image175.png"/><Relationship Id="rId247" Type="http://schemas.openxmlformats.org/officeDocument/2006/relationships/image" Target="media/image176.png"/><Relationship Id="rId248" Type="http://schemas.openxmlformats.org/officeDocument/2006/relationships/image" Target="media/image177.png"/><Relationship Id="rId249" Type="http://schemas.openxmlformats.org/officeDocument/2006/relationships/image" Target="media/image178.png"/><Relationship Id="rId250" Type="http://schemas.openxmlformats.org/officeDocument/2006/relationships/image" Target="media/image179.png"/><Relationship Id="rId251" Type="http://schemas.openxmlformats.org/officeDocument/2006/relationships/image" Target="media/image180.png"/><Relationship Id="rId252" Type="http://schemas.openxmlformats.org/officeDocument/2006/relationships/image" Target="media/image181.png"/><Relationship Id="rId253" Type="http://schemas.openxmlformats.org/officeDocument/2006/relationships/image" Target="media/image182.png"/><Relationship Id="rId254" Type="http://schemas.openxmlformats.org/officeDocument/2006/relationships/image" Target="media/image183.png"/><Relationship Id="rId255" Type="http://schemas.openxmlformats.org/officeDocument/2006/relationships/image" Target="media/image184.png"/><Relationship Id="rId256" Type="http://schemas.openxmlformats.org/officeDocument/2006/relationships/image" Target="media/image185.png"/><Relationship Id="rId257"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png"/><Relationship Id="rId265" Type="http://schemas.openxmlformats.org/officeDocument/2006/relationships/image" Target="media/image194.png"/><Relationship Id="rId266" Type="http://schemas.openxmlformats.org/officeDocument/2006/relationships/image" Target="media/image195.png"/><Relationship Id="rId267" Type="http://schemas.openxmlformats.org/officeDocument/2006/relationships/image" Target="media/image196.png"/><Relationship Id="rId268" Type="http://schemas.openxmlformats.org/officeDocument/2006/relationships/image" Target="media/image197.png"/><Relationship Id="rId269" Type="http://schemas.openxmlformats.org/officeDocument/2006/relationships/image" Target="media/image198.png"/><Relationship Id="rId270" Type="http://schemas.openxmlformats.org/officeDocument/2006/relationships/image" Target="media/image199.png"/><Relationship Id="rId271" Type="http://schemas.openxmlformats.org/officeDocument/2006/relationships/image" Target="media/image200.png"/><Relationship Id="rId272" Type="http://schemas.openxmlformats.org/officeDocument/2006/relationships/image" Target="media/image201.png"/><Relationship Id="rId273" Type="http://schemas.openxmlformats.org/officeDocument/2006/relationships/image" Target="media/image202.png"/><Relationship Id="rId274" Type="http://schemas.openxmlformats.org/officeDocument/2006/relationships/image" Target="media/image203.png"/><Relationship Id="rId275" Type="http://schemas.openxmlformats.org/officeDocument/2006/relationships/image" Target="media/image204.png"/><Relationship Id="rId276" Type="http://schemas.openxmlformats.org/officeDocument/2006/relationships/image" Target="media/image205.png"/><Relationship Id="rId277" Type="http://schemas.openxmlformats.org/officeDocument/2006/relationships/image" Target="media/image206.png"/><Relationship Id="rId278" Type="http://schemas.openxmlformats.org/officeDocument/2006/relationships/image" Target="media/image207.png"/><Relationship Id="rId279" Type="http://schemas.openxmlformats.org/officeDocument/2006/relationships/image" Target="media/image208.png"/><Relationship Id="rId280" Type="http://schemas.openxmlformats.org/officeDocument/2006/relationships/image" Target="media/image209.png"/><Relationship Id="rId281" Type="http://schemas.openxmlformats.org/officeDocument/2006/relationships/image" Target="media/image210.png"/><Relationship Id="rId282" Type="http://schemas.openxmlformats.org/officeDocument/2006/relationships/image" Target="media/image211.png"/><Relationship Id="rId283" Type="http://schemas.openxmlformats.org/officeDocument/2006/relationships/image" Target="media/image212.png"/><Relationship Id="rId284" Type="http://schemas.openxmlformats.org/officeDocument/2006/relationships/image" Target="media/image213.png"/><Relationship Id="rId285" Type="http://schemas.openxmlformats.org/officeDocument/2006/relationships/image" Target="media/image214.png"/><Relationship Id="rId286" Type="http://schemas.openxmlformats.org/officeDocument/2006/relationships/image" Target="media/image215.png"/><Relationship Id="rId287" Type="http://schemas.openxmlformats.org/officeDocument/2006/relationships/image" Target="media/image216.png"/><Relationship Id="rId288" Type="http://schemas.openxmlformats.org/officeDocument/2006/relationships/image" Target="media/image217.png"/><Relationship Id="rId289" Type="http://schemas.openxmlformats.org/officeDocument/2006/relationships/image" Target="media/image218.png"/><Relationship Id="rId290" Type="http://schemas.openxmlformats.org/officeDocument/2006/relationships/image" Target="media/image219.png"/><Relationship Id="rId291" Type="http://schemas.openxmlformats.org/officeDocument/2006/relationships/image" Target="media/image220.png"/><Relationship Id="rId292" Type="http://schemas.openxmlformats.org/officeDocument/2006/relationships/image" Target="media/image221.png"/><Relationship Id="rId293" Type="http://schemas.openxmlformats.org/officeDocument/2006/relationships/image" Target="media/image222.png"/><Relationship Id="rId294" Type="http://schemas.openxmlformats.org/officeDocument/2006/relationships/image" Target="media/image223.png"/><Relationship Id="rId295" Type="http://schemas.openxmlformats.org/officeDocument/2006/relationships/image" Target="media/image224.png"/><Relationship Id="rId296" Type="http://schemas.openxmlformats.org/officeDocument/2006/relationships/image" Target="media/image225.png"/><Relationship Id="rId297" Type="http://schemas.openxmlformats.org/officeDocument/2006/relationships/image" Target="media/image226.png"/><Relationship Id="rId298" Type="http://schemas.openxmlformats.org/officeDocument/2006/relationships/image" Target="media/image227.png"/><Relationship Id="rId299" Type="http://schemas.openxmlformats.org/officeDocument/2006/relationships/image" Target="media/image228.png"/><Relationship Id="rId300" Type="http://schemas.openxmlformats.org/officeDocument/2006/relationships/image" Target="media/image229.png"/><Relationship Id="rId301" Type="http://schemas.openxmlformats.org/officeDocument/2006/relationships/image" Target="media/image230.png"/><Relationship Id="rId302" Type="http://schemas.openxmlformats.org/officeDocument/2006/relationships/image" Target="media/image231.png"/><Relationship Id="rId303" Type="http://schemas.openxmlformats.org/officeDocument/2006/relationships/image" Target="media/image232.png"/><Relationship Id="rId304" Type="http://schemas.openxmlformats.org/officeDocument/2006/relationships/image" Target="media/image233.png"/><Relationship Id="rId305" Type="http://schemas.openxmlformats.org/officeDocument/2006/relationships/image" Target="media/image234.png"/><Relationship Id="rId306" Type="http://schemas.openxmlformats.org/officeDocument/2006/relationships/image" Target="media/image235.png"/><Relationship Id="rId307" Type="http://schemas.openxmlformats.org/officeDocument/2006/relationships/image" Target="media/image236.png"/><Relationship Id="rId308" Type="http://schemas.openxmlformats.org/officeDocument/2006/relationships/image" Target="media/image237.png"/><Relationship Id="rId309" Type="http://schemas.openxmlformats.org/officeDocument/2006/relationships/image" Target="media/image238.png"/><Relationship Id="rId310" Type="http://schemas.openxmlformats.org/officeDocument/2006/relationships/image" Target="media/image239.png"/><Relationship Id="rId311" Type="http://schemas.openxmlformats.org/officeDocument/2006/relationships/image" Target="media/image240.png"/><Relationship Id="rId312" Type="http://schemas.openxmlformats.org/officeDocument/2006/relationships/image" Target="media/image241.png"/><Relationship Id="rId313" Type="http://schemas.openxmlformats.org/officeDocument/2006/relationships/image" Target="media/image242.png"/><Relationship Id="rId314" Type="http://schemas.openxmlformats.org/officeDocument/2006/relationships/image" Target="media/image243.png"/><Relationship Id="rId315" Type="http://schemas.openxmlformats.org/officeDocument/2006/relationships/image" Target="media/image244.png"/><Relationship Id="rId316" Type="http://schemas.openxmlformats.org/officeDocument/2006/relationships/image" Target="media/image245.png"/><Relationship Id="rId317" Type="http://schemas.openxmlformats.org/officeDocument/2006/relationships/image" Target="media/image246.png"/><Relationship Id="rId318" Type="http://schemas.openxmlformats.org/officeDocument/2006/relationships/image" Target="media/image247.png"/><Relationship Id="rId319" Type="http://schemas.openxmlformats.org/officeDocument/2006/relationships/image" Target="media/image248.png"/><Relationship Id="rId320" Type="http://schemas.openxmlformats.org/officeDocument/2006/relationships/image" Target="media/image249.png"/><Relationship Id="rId321" Type="http://schemas.openxmlformats.org/officeDocument/2006/relationships/image" Target="media/image250.png"/><Relationship Id="rId322" Type="http://schemas.openxmlformats.org/officeDocument/2006/relationships/image" Target="media/image251.png"/><Relationship Id="rId323" Type="http://schemas.openxmlformats.org/officeDocument/2006/relationships/image" Target="media/image252.png"/><Relationship Id="rId324" Type="http://schemas.openxmlformats.org/officeDocument/2006/relationships/image" Target="media/image253.png"/><Relationship Id="rId325" Type="http://schemas.openxmlformats.org/officeDocument/2006/relationships/image" Target="media/image254.png"/><Relationship Id="rId326" Type="http://schemas.openxmlformats.org/officeDocument/2006/relationships/image" Target="media/image255.png"/><Relationship Id="rId127" Type="http://schemas.openxmlformats.org/officeDocument/2006/relationships/hyperlink" Target="https://www.sec.gov/Archives/edgar/data/317540/000156459017016586/coke-ex31_322.htm" TargetMode="External"/><Relationship Id="rId128" Type="http://schemas.openxmlformats.org/officeDocument/2006/relationships/hyperlink" Target="https://www.sec.gov/Archives/edgar/data/317540/000119312519000734/d668179dex31.htm" TargetMode="External"/><Relationship Id="rId129" Type="http://schemas.openxmlformats.org/officeDocument/2006/relationships/hyperlink" Target="https://www.sec.gov/Archives/edgar/data/317540/000119312519000734/d668179dex32.htm" TargetMode="External"/><Relationship Id="rId130" Type="http://schemas.openxmlformats.org/officeDocument/2006/relationships/hyperlink" Target="https://www.sec.gov/Archives/edgar/data/317540/000156459020006432/coke-ex41_564.htm" TargetMode="External"/><Relationship Id="rId131" Type="http://schemas.openxmlformats.org/officeDocument/2006/relationships/hyperlink" Target="https://www.sec.gov/Archives/edgar/data/317540/000119312519044255/d710194dex41.htm" TargetMode="External"/><Relationship Id="rId132" Type="http://schemas.openxmlformats.org/officeDocument/2006/relationships/hyperlink" Target="https://www.sec.gov/Archives/edgar/data/317540/000095010903001827/dex42.htm" TargetMode="External"/><Relationship Id="rId133" Type="http://schemas.openxmlformats.org/officeDocument/2006/relationships/hyperlink" Target="https://www.sec.gov/Archives/edgar/data/317540/000119312515387994/d97549dex41.htm" TargetMode="External"/><Relationship Id="rId134" Type="http://schemas.openxmlformats.org/officeDocument/2006/relationships/hyperlink" Target="https://www.sec.gov/Archives/edgar/data/317540/000119312520318152/d61146dex44.htm" TargetMode="External"/><Relationship Id="rId135" Type="http://schemas.openxmlformats.org/officeDocument/2006/relationships/hyperlink" Target="https://www.sec.gov/Archives/edgar/data/317540/000119312521214151/d142070dex101.htm" TargetMode="External"/><Relationship Id="rId136" Type="http://schemas.openxmlformats.org/officeDocument/2006/relationships/hyperlink" Target="https://www.sec.gov/Archives/edgar/data/317540/000119312521214151/d142070dex102.htm" TargetMode="External"/><Relationship Id="rId137" Type="http://schemas.openxmlformats.org/officeDocument/2006/relationships/hyperlink" Target="https://www.sec.gov/Archives/edgar/data/317540/000119312517014224/d302483dex101.htm" TargetMode="External"/><Relationship Id="rId138" Type="http://schemas.openxmlformats.org/officeDocument/2006/relationships/hyperlink" Target="https://www.sec.gov/Archives/edgar/data/317540/000156459018017416/coke-ex101_17.htm" TargetMode="External"/><Relationship Id="rId139" Type="http://schemas.openxmlformats.org/officeDocument/2006/relationships/hyperlink" Target="https://www.sec.gov/Archives/edgar/data/317540/000156459018005615/coke-ex101_8.htm" TargetMode="External"/><Relationship Id="rId140" Type="http://schemas.openxmlformats.org/officeDocument/2006/relationships/hyperlink" Target="https://www.sec.gov/Archives/edgar/data/317540/000156459018017416/coke-ex102_18.htm" TargetMode="External"/><Relationship Id="rId141" Type="http://schemas.openxmlformats.org/officeDocument/2006/relationships/hyperlink" Target="https://www.sec.gov/Archives/edgar/data/317540/000119312519028404/d702763dex101.htm" TargetMode="External"/><Relationship Id="rId142" Type="http://schemas.openxmlformats.org/officeDocument/2006/relationships/hyperlink" Target="https://www.sec.gov/Archives/edgar/data/317540/000119312519028399/d705595dex101.htm" TargetMode="External"/><Relationship Id="rId145" Type="http://schemas.openxmlformats.org/officeDocument/2006/relationships/hyperlink" Target="https://www.sec.gov/Archives/edgar/data/317540/000119312515362422/d50854dex101.htm" TargetMode="External"/><Relationship Id="rId146" Type="http://schemas.openxmlformats.org/officeDocument/2006/relationships/hyperlink" Target="https://www.sec.gov/Archives/edgar/data/317540/000156459019005000/coke-ex1017_599.htm" TargetMode="External"/><Relationship Id="rId147" Type="http://schemas.openxmlformats.org/officeDocument/2006/relationships/hyperlink" Target="https://www.sec.gov/Archives/edgar/data/317540/000119312516760191/d277271dex102.htm" TargetMode="External"/><Relationship Id="rId149" Type="http://schemas.openxmlformats.org/officeDocument/2006/relationships/hyperlink" Target="https://www.sec.gov/Archives/edgar/data/317540/000119312516760191/d277271dex103.htm" TargetMode="External"/><Relationship Id="rId150" Type="http://schemas.openxmlformats.org/officeDocument/2006/relationships/hyperlink" Target="https://www.sec.gov/Archives/edgar/data/317540/000156459017010528/coke-ex104_278.htm" TargetMode="External"/><Relationship Id="rId152" Type="http://schemas.openxmlformats.org/officeDocument/2006/relationships/hyperlink" Target="https://www.sec.gov/Archives/edgar/data/317540/000031754020000028/coke-2020q3x10qxexx103.htm" TargetMode="External"/><Relationship Id="rId153" Type="http://schemas.openxmlformats.org/officeDocument/2006/relationships/hyperlink" Target="https://www.sec.gov/Archives/edgar/data/317540/000156459018003845/coke-ex1071_373.htm" TargetMode="External"/><Relationship Id="rId154" Type="http://schemas.openxmlformats.org/officeDocument/2006/relationships/hyperlink" Target="https://www.sec.gov/Archives/edgar/data/317540/000119312517108876/d371301dex101.htm" TargetMode="External"/><Relationship Id="rId155" Type="http://schemas.openxmlformats.org/officeDocument/2006/relationships/hyperlink" Target="https://www.sec.gov/Archives/edgar/data/317540/000119312517108876/d371301dex102.htm" TargetMode="External"/><Relationship Id="rId156" Type="http://schemas.openxmlformats.org/officeDocument/2006/relationships/hyperlink" Target="https://www.sec.gov/Archives/edgar/data/317540/000156459017010528/coke-ex105_279.htm" TargetMode="External"/><Relationship Id="rId157" Type="http://schemas.openxmlformats.org/officeDocument/2006/relationships/hyperlink" Target="https://www.sec.gov/Archives/edgar/data/317540/000156459017010528/coke-ex106_277.htm" TargetMode="External"/><Relationship Id="rId158" Type="http://schemas.openxmlformats.org/officeDocument/2006/relationships/hyperlink" Target="https://www.sec.gov/Archives/edgar/data/317540/000156459017016586/coke-ex101_209.htm" TargetMode="External"/><Relationship Id="rId159" Type="http://schemas.openxmlformats.org/officeDocument/2006/relationships/hyperlink" Target="https://www.sec.gov/Archives/edgar/data/317540/000156459018003845/coke-ex1072_372.htm" TargetMode="External"/><Relationship Id="rId160" Type="http://schemas.openxmlformats.org/officeDocument/2006/relationships/hyperlink" Target="https://www.sec.gov/Archives/edgar/data/317540/000156459018003845/coke-ex1074_374.htm" TargetMode="External"/><Relationship Id="rId161" Type="http://schemas.openxmlformats.org/officeDocument/2006/relationships/hyperlink" Target="https://www.sec.gov/Archives/edgar/data/317540/000156459018020566/coke-ex101_132.htm" TargetMode="External"/><Relationship Id="rId162" Type="http://schemas.openxmlformats.org/officeDocument/2006/relationships/hyperlink" Target="https://www.sec.gov/Archives/edgar/data/317540/000156459018028632/coke-ex105_82.htm" TargetMode="External"/><Relationship Id="rId163" Type="http://schemas.openxmlformats.org/officeDocument/2006/relationships/hyperlink" Target="https://www.sec.gov/Archives/edgar/data/317540/000156459019040437/coke-ex103_280.htm" TargetMode="External"/><Relationship Id="rId166" Type="http://schemas.openxmlformats.org/officeDocument/2006/relationships/hyperlink" Target="https://www.sec.gov/Archives/edgar/data/317540/000031754022000009/coke-20211231xexhibit1030.htm" TargetMode="External"/><Relationship Id="rId167" Type="http://schemas.openxmlformats.org/officeDocument/2006/relationships/hyperlink" Target="https://www.sec.gov/Archives/edgar/data/317540/000156459017010528/coke-ex107_276.htm" TargetMode="External"/><Relationship Id="rId168" Type="http://schemas.openxmlformats.org/officeDocument/2006/relationships/hyperlink" Target="https://www.sec.gov/Archives/edgar/data/317540/000156459017016586/coke-ex102_208.htm" TargetMode="External"/><Relationship Id="rId169" Type="http://schemas.openxmlformats.org/officeDocument/2006/relationships/hyperlink" Target="https://www.sec.gov/Archives/edgar/data/317540/000156459018003845/coke-ex1073_405.htm" TargetMode="External"/><Relationship Id="rId170" Type="http://schemas.openxmlformats.org/officeDocument/2006/relationships/hyperlink" Target="https://www.sec.gov/Archives/edgar/data/317540/000095014409001450/g17735exv10w1.htm" TargetMode="External"/><Relationship Id="rId171" Type="http://schemas.openxmlformats.org/officeDocument/2006/relationships/hyperlink" Target="https://www.sec.gov/Archives/edgar/data/317540/000095014409002599/g18260exv10w1.htm" TargetMode="External"/><Relationship Id="rId172" Type="http://schemas.openxmlformats.org/officeDocument/2006/relationships/hyperlink" Target="https://www.sec.gov/Archives/edgar/data/317540/000119312520188808/d935497dex101.htm" TargetMode="External"/><Relationship Id="rId173" Type="http://schemas.openxmlformats.org/officeDocument/2006/relationships/hyperlink" Target="https://www.sec.gov/Archives/edgar/data/317540/000119312522082770/d248978dex101.htm" TargetMode="External"/><Relationship Id="rId174" Type="http://schemas.openxmlformats.org/officeDocument/2006/relationships/hyperlink" Target="https://www.sec.gov/Archives/edgar/data/317540/000119312520001500/d845413dex101.htm" TargetMode="External"/><Relationship Id="rId175" Type="http://schemas.openxmlformats.org/officeDocument/2006/relationships/hyperlink" Target="https://www.sec.gov/Archives/edgar/data/317540/000156459020006432/coke-ex1040_455.htm" TargetMode="External"/><Relationship Id="rId177" Type="http://schemas.openxmlformats.org/officeDocument/2006/relationships/hyperlink" Target="https://www.sec.gov/Archives/edgar/data/317540/000119312522082770/d248978dex102.htm" TargetMode="External"/><Relationship Id="rId178" Type="http://schemas.openxmlformats.org/officeDocument/2006/relationships/hyperlink" Target="https://www.sec.gov/Archives/edgar/data/317540/000156459020006432/coke-ex1041_141.htm" TargetMode="External"/><Relationship Id="rId179" Type="http://schemas.openxmlformats.org/officeDocument/2006/relationships/hyperlink" Target="https://www.sec.gov/Archives/edgar/data/317540/000031754021000011/coke-2021q1x10qxexx101.htm" TargetMode="External"/><Relationship Id="rId180" Type="http://schemas.openxmlformats.org/officeDocument/2006/relationships/hyperlink" Target="https://www.sec.gov/Archives/edgar/data/317540/000156459020006432/coke-ex1042_140.htm" TargetMode="External"/><Relationship Id="rId181" Type="http://schemas.openxmlformats.org/officeDocument/2006/relationships/hyperlink" Target="https://www.sec.gov/Archives/edgar/data/317540/000095012310077286/g24279exv10w2.htm" TargetMode="External"/><Relationship Id="rId182" Type="http://schemas.openxmlformats.org/officeDocument/2006/relationships/hyperlink" Target="https://www.sec.gov/Archives/edgar/data/317540/000119312512119442/d295777dex1031.htm" TargetMode="External"/><Relationship Id="rId183" Type="http://schemas.openxmlformats.org/officeDocument/2006/relationships/hyperlink" Target="https://www.sec.gov/Archives/edgar/data/317540/000156459019005000/coke-ex1056_423.htm" TargetMode="External"/><Relationship Id="rId186" Type="http://schemas.openxmlformats.org/officeDocument/2006/relationships/hyperlink" Target="https://www.sec.gov/Archives/edgar/data/317540/000031754021000011/coke-2021q1x10qxexx102.htm" TargetMode="External"/><Relationship Id="rId187" Type="http://schemas.openxmlformats.org/officeDocument/2006/relationships/hyperlink" Target="https://www.sec.gov/Archives/edgar/data/317540/000031754022000024/coke-2022q1x10qxexhibit102.htm" TargetMode="External"/><Relationship Id="rId188" Type="http://schemas.openxmlformats.org/officeDocument/2006/relationships/hyperlink" Target="https://www.sec.gov/Archives/edgar/data/317540/000031754022000009/coke-20211231xexhibit1047.htm" TargetMode="External"/><Relationship Id="rId189" Type="http://schemas.openxmlformats.org/officeDocument/2006/relationships/hyperlink" Target="https://www.sec.gov/Archives/edgar/data/317540/000156459019005000/coke-ex1058_422.htm" TargetMode="External"/><Relationship Id="rId190" Type="http://schemas.openxmlformats.org/officeDocument/2006/relationships/hyperlink" Target="https://www.sec.gov/Archives/edgar/data/317540/000119312507111395/dex104.htm" TargetMode="External"/><Relationship Id="rId191" Type="http://schemas.openxmlformats.org/officeDocument/2006/relationships/hyperlink" Target="https://www.sec.gov/Archives/edgar/data/317540/000095014409002180/g17639exv10w32.htm" TargetMode="External"/><Relationship Id="rId192" Type="http://schemas.openxmlformats.org/officeDocument/2006/relationships/hyperlink" Target="https://www.sec.gov/Archives/edgar/data/317540/000119312514192369/d703515dex101.htm" TargetMode="External"/><Relationship Id="rId193" Type="http://schemas.openxmlformats.org/officeDocument/2006/relationships/hyperlink" Target="https://www.sec.gov/Archives/edgar/data/317540/000031754022000024/coke-2022q1x10qxexhibit101.htm" TargetMode="External"/><Relationship Id="rId194" Type="http://schemas.openxmlformats.org/officeDocument/2006/relationships/hyperlink" Target="https://www.sec.gov/Archives/edgar/data/317540/000119312518095093/d497175ddef14a.htm#toc497175_45" TargetMode="External"/><Relationship Id="rId195" Type="http://schemas.openxmlformats.org/officeDocument/2006/relationships/hyperlink" Target="https://www.sec.gov/Archives/edgar/data/317540/000156459019040437/coke-ex101_11.htm" TargetMode="External"/><Relationship Id="rId196" Type="http://schemas.openxmlformats.org/officeDocument/2006/relationships/hyperlink" Target="https://www.sec.gov/Archives/edgar/data/317540/000156459019040437/coke-ex102_89.htm" TargetMode="External"/><Relationship Id="rId197" Type="http://schemas.openxmlformats.org/officeDocument/2006/relationships/hyperlink" Target="https://www.sec.gov/Archives/edgar/data/317540/000119312506056163/dex1024.htm" TargetMode="External"/><Relationship Id="rId198" Type="http://schemas.openxmlformats.org/officeDocument/2006/relationships/hyperlink" Target="https://www.sec.gov/Archives/edgar/data/317540/000162828020003157/coke03062020exhibit101.htm" TargetMode="External"/><Relationship Id="rId199" Type="http://schemas.openxmlformats.org/officeDocument/2006/relationships/hyperlink" Target="https://www.sec.gov/Archives/edgar/data/317540/000031754022000032/coke-2022q2x10qxex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2023-02-22T19:54:30Z</dcterms:created>
  <dcterms:modified xsi:type="dcterms:W3CDTF">2023-02-22T19:54:30Z</dcterms:modified>
</cp:coreProperties>
</file>