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6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0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quarterly period ended April 3,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0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For the transition period from ___________ to ___________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0-9286</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COCA-COLA CONSOLIDATED,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w:t>
      </w:r>
    </w:p>
    <w:tbl>
      <w:tblPr>
        <w:tblW w:w="5380" w:type="dxa"/>
        <w:jc w:val="center"/>
        <w:tblInd w:w="0" w:type="dxa"/>
        <w:tblLayout w:type="fixed"/>
        <w:tblCellMar>
          <w:top w:w="28" w:type="dxa"/>
          <w:left w:w="28" w:type="dxa"/>
          <w:bottom w:w="28" w:type="dxa"/>
          <w:right w:w="28" w:type="dxa"/>
        </w:tblCellMar>
      </w:tblPr>
      <w:tblGrid>
        <w:gridCol w:w="1220"/>
        <w:gridCol w:w="1072"/>
        <w:gridCol w:w="1082"/>
        <w:gridCol w:w="543"/>
        <w:gridCol w:w="543"/>
        <w:gridCol w:w="548"/>
        <w:gridCol w:w="109"/>
        <w:gridCol w:w="109"/>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56-0950585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(State or other jurisdiction of</w:t>
            </w:r>
          </w:p>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(I.R.S. Employer</w:t>
            </w:r>
          </w:p>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56" w:before="0" w:after="0"/>
              <w:jc w:val="center"/>
              <w:rPr/>
            </w:pPr>
            <w:r>
              <w:rPr>
                <w:rFonts w:ascii="Times New Roman;serif" w:hAnsi="Times New Roman;serif"/>
                <w:b/>
                <w:color w:val="000000"/>
                <w:sz w:val="20"/>
              </w:rPr>
              <w:t>4100 Coca</w:t>
            </w:r>
            <w:r>
              <w:rPr>
                <w:color w:val="000000"/>
              </w:rPr>
              <w:noBreakHyphen/>
            </w:r>
            <w:r>
              <w:rPr>
                <w:rFonts w:ascii="Times New Roman;serif" w:hAnsi="Times New Roman;serif"/>
                <w:b/>
                <w:color w:val="000000"/>
                <w:sz w:val="20"/>
              </w:rPr>
              <w:t>Cola Plaza</w:t>
            </w:r>
          </w:p>
        </w:tc>
        <w:tc>
          <w:tcPr>
            <w:tcW w:w="1634"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Charlotte, NC</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28211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(980) 392-8298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13" w:type="dxa"/>
        <w:jc w:val="left"/>
        <w:tblInd w:w="0" w:type="dxa"/>
        <w:tblLayout w:type="fixed"/>
        <w:tblCellMar>
          <w:top w:w="28" w:type="dxa"/>
          <w:left w:w="28" w:type="dxa"/>
          <w:bottom w:w="28" w:type="dxa"/>
          <w:right w:w="28" w:type="dxa"/>
        </w:tblCellMar>
      </w:tblPr>
      <w:tblGrid>
        <w:gridCol w:w="1209"/>
        <w:gridCol w:w="1066"/>
        <w:gridCol w:w="1070"/>
        <w:gridCol w:w="484"/>
        <w:gridCol w:w="484"/>
        <w:gridCol w:w="486"/>
        <w:gridCol w:w="970"/>
        <w:gridCol w:w="970"/>
        <w:gridCol w:w="1374"/>
      </w:tblGrid>
      <w:tr>
        <w:trPr/>
        <w:tc>
          <w:tcPr>
            <w:tcW w:w="12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Common Stock, par value $1.00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COKE</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The Nasdaq Global Select Market</w:t>
            </w:r>
          </w:p>
        </w:tc>
      </w:tr>
    </w:tbl>
    <w:p>
      <w:pPr>
        <w:pStyle w:val="TextBody"/>
        <w:bidi w:val="0"/>
        <w:spacing w:lineRule="auto" w:line="288" w:before="200" w:after="10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88" w:before="100" w:after="10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100" w:after="1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10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April 24, 2026, there were 56,517,334 shares of the registrant’s Common Stock, par value $1.00 per share, and 10,046,960 shares of the registrant’s Class B Common Stock, par value $1.00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center"/>
        <w:rPr/>
      </w:pPr>
      <w:r>
        <w:rPr>
          <w:rFonts w:ascii="Times New Roman;serif" w:hAnsi="Times New Roman;serif"/>
          <w:b/>
          <w:color w:val="000000"/>
          <w:sz w:val="20"/>
        </w:rPr>
        <w:t>COCA</w:t>
      </w:r>
      <w:r>
        <w:rPr>
          <w:color w:val="000000"/>
        </w:rPr>
        <w:noBreakHyphen/>
      </w:r>
      <w:r>
        <w:rPr>
          <w:rFonts w:ascii="Times New Roman;serif" w:hAnsi="Times New Roman;serif"/>
          <w:b/>
          <w:color w:val="000000"/>
          <w:sz w:val="20"/>
        </w:rPr>
        <w:t>COLA CONSOLIDATED,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APRIL 3,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46" w:type="dxa"/>
        <w:jc w:val="center"/>
        <w:tblInd w:w="0" w:type="dxa"/>
        <w:tblLayout w:type="fixed"/>
        <w:tblCellMar>
          <w:top w:w="28" w:type="dxa"/>
          <w:left w:w="28" w:type="dxa"/>
          <w:bottom w:w="28" w:type="dxa"/>
          <w:right w:w="28" w:type="dxa"/>
        </w:tblCellMar>
      </w:tblPr>
      <w:tblGrid>
        <w:gridCol w:w="293"/>
        <w:gridCol w:w="258"/>
        <w:gridCol w:w="259"/>
        <w:gridCol w:w="2454"/>
        <w:gridCol w:w="2454"/>
        <w:gridCol w:w="2457"/>
        <w:gridCol w:w="167"/>
        <w:gridCol w:w="167"/>
        <w:gridCol w:w="23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685573256674c9ebd406a8bad37a9a0_10">
              <w:r>
                <w:rPr>
                  <w:rStyle w:val="InternetLink"/>
                  <w:rFonts w:ascii="Times New Roman;serif" w:hAnsi="Times New Roman;serif"/>
                  <w:b w:val="false"/>
                  <w:color w:val="0000FF"/>
                  <w:sz w:val="20"/>
                  <w:u w:val="single"/>
                </w:rPr>
                <w:t>PART I – FINANCIAL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85573256674c9ebd406a8bad37a9a0_13">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85573256674c9ebd406a8bad37a9a0_13">
              <w:r>
                <w:rPr>
                  <w:rStyle w:val="InternetLink"/>
                  <w:rFonts w:ascii="Times New Roman;serif" w:hAnsi="Times New Roman;serif"/>
                  <w:b w:val="false"/>
                  <w:color w:val="0000FF"/>
                  <w:sz w:val="20"/>
                  <w:u w:val="single"/>
                </w:rPr>
                <w:t>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85573256674c9ebd406a8bad37a9a0_16">
              <w:r>
                <w:rPr>
                  <w:rStyle w:val="InternetLink"/>
                  <w:rFonts w:ascii="Times New Roman;serif" w:hAnsi="Times New Roman;serif"/>
                  <w:b w:val="false"/>
                  <w:color w:val="0000FF"/>
                  <w:sz w:val="20"/>
                  <w:u w:val="single"/>
                </w:rPr>
                <w:t>Condensed 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685573256674c9ebd406a8bad37a9a0_16">
              <w:r>
                <w:rPr>
                  <w:rStyle w:val="InternetLink"/>
                  <w:rFonts w:ascii="Times New Roman;serif" w:hAnsi="Times New Roman;serif"/>
                  <w:b w:val="false"/>
                  <w:strike w:val="false"/>
                  <w:dstrike w:val="false"/>
                  <w:color w:val="0000FF"/>
                  <w:sz w:val="20"/>
                  <w:u w:val="none"/>
                  <w:effect w:val="none"/>
                </w:rPr>
                <w:t>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85573256674c9ebd406a8bad37a9a0_19">
              <w:r>
                <w:rPr>
                  <w:rStyle w:val="InternetLink"/>
                  <w:rFonts w:ascii="Times New Roman;serif" w:hAnsi="Times New Roman;serif"/>
                  <w:b w:val="false"/>
                  <w:color w:val="0000FF"/>
                  <w:sz w:val="20"/>
                  <w:u w:val="single"/>
                </w:rPr>
                <w:t>Condensed Consolidated Statements of Comprehensive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685573256674c9ebd406a8bad37a9a0_19">
              <w:r>
                <w:rPr>
                  <w:rStyle w:val="InternetLink"/>
                  <w:rFonts w:ascii="Times New Roman;serif" w:hAnsi="Times New Roman;serif"/>
                  <w:b w:val="false"/>
                  <w:strike w:val="false"/>
                  <w:dstrike w:val="false"/>
                  <w:color w:val="0000FF"/>
                  <w:sz w:val="20"/>
                  <w:u w:val="none"/>
                  <w:effect w:val="none"/>
                </w:rPr>
                <w:t>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85573256674c9ebd406a8bad37a9a0_22">
              <w:r>
                <w:rPr>
                  <w:rStyle w:val="InternetLink"/>
                  <w:rFonts w:ascii="Times New Roman;serif" w:hAnsi="Times New Roman;serif"/>
                  <w:b w:val="false"/>
                  <w:color w:val="0000FF"/>
                  <w:sz w:val="20"/>
                  <w:u w:val="single"/>
                </w:rPr>
                <w:t>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685573256674c9ebd406a8bad37a9a0_22">
              <w:r>
                <w:rPr>
                  <w:rStyle w:val="InternetLink"/>
                  <w:rFonts w:ascii="Times New Roman;serif" w:hAnsi="Times New Roman;serif"/>
                  <w:b w:val="false"/>
                  <w:strike w:val="false"/>
                  <w:dstrike w:val="false"/>
                  <w:color w:val="0000FF"/>
                  <w:sz w:val="20"/>
                  <w:u w:val="none"/>
                  <w:effect w:val="none"/>
                </w:rPr>
                <w:t>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85573256674c9ebd406a8bad37a9a0_25">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685573256674c9ebd406a8bad37a9a0_25">
              <w:r>
                <w:rPr>
                  <w:rStyle w:val="InternetLink"/>
                  <w:rFonts w:ascii="Times New Roman;serif" w:hAnsi="Times New Roman;serif"/>
                  <w:b w:val="false"/>
                  <w:strike w:val="false"/>
                  <w:dstrike w:val="false"/>
                  <w:color w:val="0000FF"/>
                  <w:sz w:val="20"/>
                  <w:u w:val="none"/>
                  <w:effect w:val="non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85573256674c9ebd406a8bad37a9a0_28">
              <w:r>
                <w:rPr>
                  <w:rStyle w:val="InternetLink"/>
                  <w:rFonts w:ascii="Times New Roman;serif" w:hAnsi="Times New Roman;serif"/>
                  <w:b w:val="false"/>
                  <w:color w:val="000080"/>
                  <w:sz w:val="20"/>
                  <w:u w:val="single"/>
                </w:rPr>
                <w:t xml:space="preserve">Condensed Consolidated Statements of Changes in Stockholders’ </w:t>
              </w:r>
            </w:hyperlink>
            <w:hyperlink w:anchor="i4685573256674c9ebd406a8bad37a9a0_28">
              <w:r>
                <w:rPr>
                  <w:rStyle w:val="InternetLink"/>
                  <w:rFonts w:ascii="Times New Roman;serif" w:hAnsi="Times New Roman;serif"/>
                  <w:b w:val="false"/>
                  <w:color w:val="000080"/>
                  <w:sz w:val="20"/>
                  <w:u w:val="single"/>
                </w:rPr>
                <w:t xml:space="preserve">(Deficit) </w:t>
              </w:r>
            </w:hyperlink>
            <w:hyperlink w:anchor="i4685573256674c9ebd406a8bad37a9a0_28">
              <w:r>
                <w:rPr>
                  <w:rStyle w:val="InternetLink"/>
                  <w:rFonts w:ascii="Times New Roman;serif" w:hAnsi="Times New Roman;serif"/>
                  <w:b w:val="false"/>
                  <w:color w:val="000080"/>
                  <w:sz w:val="20"/>
                  <w:u w:val="single"/>
                </w:rPr>
                <w:t>Equity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685573256674c9ebd406a8bad37a9a0_28">
              <w:r>
                <w:rPr>
                  <w:rStyle w:val="InternetLink"/>
                  <w:rFonts w:ascii="Times New Roman;serif" w:hAnsi="Times New Roman;serif"/>
                  <w:b w:val="false"/>
                  <w:strike w:val="false"/>
                  <w:dstrike w:val="false"/>
                  <w:color w:val="0000FF"/>
                  <w:sz w:val="20"/>
                  <w:u w:val="none"/>
                  <w:effect w:val="none"/>
                </w:rPr>
                <w:t>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85573256674c9ebd406a8bad37a9a0_31">
              <w:r>
                <w:rPr>
                  <w:rStyle w:val="InternetLink"/>
                  <w:rFonts w:ascii="Times New Roman;serif" w:hAnsi="Times New Roman;serif"/>
                  <w:b w:val="false"/>
                  <w:color w:val="0000FF"/>
                  <w:sz w:val="20"/>
                  <w:u w:val="singl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685573256674c9ebd406a8bad37a9a0_31">
              <w:r>
                <w:rPr>
                  <w:rStyle w:val="InternetLink"/>
                  <w:rFonts w:ascii="Times New Roman;serif" w:hAnsi="Times New Roman;serif"/>
                  <w:b w:val="false"/>
                  <w:strike w:val="false"/>
                  <w:dstrike w:val="false"/>
                  <w:color w:val="0000FF"/>
                  <w:sz w:val="20"/>
                  <w:u w:val="none"/>
                  <w:effect w:val="none"/>
                </w:rPr>
                <w:t>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85573256674c9ebd406a8bad37a9a0_103">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85573256674c9ebd406a8bad37a9a0_10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685573256674c9ebd406a8bad37a9a0_103">
              <w:r>
                <w:rPr>
                  <w:rStyle w:val="InternetLink"/>
                  <w:rFonts w:ascii="Times New Roman;serif" w:hAnsi="Times New Roman;serif"/>
                  <w:b w:val="false"/>
                  <w:strike w:val="false"/>
                  <w:dstrike w:val="false"/>
                  <w:color w:val="0000FF"/>
                  <w:sz w:val="20"/>
                  <w:u w:val="none"/>
                  <w:effect w:val="none"/>
                </w:rPr>
                <w:t>25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85573256674c9ebd406a8bad37a9a0_136">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85573256674c9ebd406a8bad37a9a0_136">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685573256674c9ebd406a8bad37a9a0_136">
              <w:r>
                <w:rPr>
                  <w:rStyle w:val="InternetLink"/>
                  <w:rFonts w:ascii="Times New Roman;serif" w:hAnsi="Times New Roman;serif"/>
                  <w:b w:val="false"/>
                  <w:strike w:val="false"/>
                  <w:dstrike w:val="false"/>
                  <w:color w:val="0000FF"/>
                  <w:sz w:val="20"/>
                  <w:u w:val="none"/>
                  <w:effect w:val="none"/>
                </w:rPr>
                <w:t>39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85573256674c9ebd406a8bad37a9a0_139">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85573256674c9ebd406a8bad37a9a0_139">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685573256674c9ebd406a8bad37a9a0_139">
              <w:r>
                <w:rPr>
                  <w:rStyle w:val="InternetLink"/>
                  <w:rFonts w:ascii="Times New Roman;serif" w:hAnsi="Times New Roman;serif"/>
                  <w:b w:val="false"/>
                  <w:strike w:val="false"/>
                  <w:dstrike w:val="false"/>
                  <w:color w:val="0000FF"/>
                  <w:sz w:val="20"/>
                  <w:u w:val="none"/>
                  <w:effect w:val="none"/>
                </w:rPr>
                <w:t>40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685573256674c9ebd406a8bad37a9a0_142">
              <w:r>
                <w:rPr>
                  <w:rStyle w:val="InternetLink"/>
                  <w:rFonts w:ascii="Times New Roman;serif" w:hAnsi="Times New Roman;serif"/>
                  <w:b w:val="false"/>
                  <w:color w:val="0000FF"/>
                  <w:sz w:val="20"/>
                  <w:u w:val="single"/>
                </w:rPr>
                <w:t>PART II – 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85573256674c9ebd406a8bad37a9a0_145">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85573256674c9ebd406a8bad37a9a0_145">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685573256674c9ebd406a8bad37a9a0_145">
              <w:r>
                <w:rPr>
                  <w:rStyle w:val="InternetLink"/>
                  <w:rFonts w:ascii="Times New Roman;serif" w:hAnsi="Times New Roman;serif"/>
                  <w:b w:val="false"/>
                  <w:strike w:val="false"/>
                  <w:dstrike w:val="false"/>
                  <w:color w:val="0000FF"/>
                  <w:sz w:val="20"/>
                  <w:u w:val="none"/>
                  <w:effect w:val="none"/>
                </w:rPr>
                <w:t>41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85573256674c9ebd406a8bad37a9a0_148">
              <w:r>
                <w:rPr>
                  <w:rStyle w:val="InternetLink"/>
                  <w:rFonts w:ascii="Times New Roman;serif" w:hAnsi="Times New Roman;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85573256674c9ebd406a8bad37a9a0_148">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685573256674c9ebd406a8bad37a9a0_148">
              <w:r>
                <w:rPr>
                  <w:rStyle w:val="InternetLink"/>
                  <w:rFonts w:ascii="Times New Roman;serif" w:hAnsi="Times New Roman;serif"/>
                  <w:b w:val="false"/>
                  <w:strike w:val="false"/>
                  <w:dstrike w:val="false"/>
                  <w:color w:val="0000FF"/>
                  <w:sz w:val="20"/>
                  <w:u w:val="none"/>
                  <w:effect w:val="none"/>
                </w:rPr>
                <w:t>41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85573256674c9ebd406a8bad37a9a0_154">
              <w:r>
                <w:rPr>
                  <w:rStyle w:val="InternetLink"/>
                  <w:rFonts w:ascii="Times New Roman;serif" w:hAnsi="Times New Roman;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85573256674c9ebd406a8bad37a9a0_154">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85573256674c9ebd406a8bad37a9a0_154">
              <w:r>
                <w:rPr>
                  <w:rStyle w:val="InternetLink"/>
                  <w:rFonts w:ascii="Times New Roman;serif" w:hAnsi="Times New Roman;serif"/>
                  <w:b w:val="false"/>
                  <w:strike w:val="false"/>
                  <w:dstrike w:val="false"/>
                  <w:color w:val="0000FF"/>
                  <w:sz w:val="20"/>
                  <w:u w:val="none"/>
                  <w:effect w:val="none"/>
                </w:rPr>
                <w:t>41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85573256674c9ebd406a8bad37a9a0_157">
              <w:r>
                <w:rPr>
                  <w:rStyle w:val="InternetLink"/>
                  <w:rFonts w:ascii="Times New Roman;serif" w:hAnsi="Times New Roman;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85573256674c9ebd406a8bad37a9a0_157">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685573256674c9ebd406a8bad37a9a0_157">
              <w:r>
                <w:rPr>
                  <w:rStyle w:val="InternetLink"/>
                  <w:rFonts w:ascii="Times New Roman;serif" w:hAnsi="Times New Roman;serif"/>
                  <w:b w:val="false"/>
                  <w:strike w:val="false"/>
                  <w:dstrike w:val="false"/>
                  <w:color w:val="0000FF"/>
                  <w:sz w:val="20"/>
                  <w:u w:val="none"/>
                  <w:effect w:val="none"/>
                </w:rPr>
                <w:t>42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85573256674c9ebd406a8bad37a9a0_160">
              <w:r>
                <w:rPr>
                  <w:rStyle w:val="InternetLink"/>
                  <w:rFonts w:ascii="Times New Roman;serif" w:hAnsi="Times New Roman;serif"/>
                  <w:b w:val="false"/>
                  <w:color w:val="0000FF"/>
                  <w:sz w:val="20"/>
                  <w:u w:val="single"/>
                </w:rPr>
                <w:t>Signature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685573256674c9ebd406a8bad37a9a0_160">
              <w:r>
                <w:rPr>
                  <w:rStyle w:val="InternetLink"/>
                  <w:rFonts w:ascii="Times New Roman;serif" w:hAnsi="Times New Roman;serif"/>
                  <w:b w:val="false"/>
                  <w:strike w:val="false"/>
                  <w:dstrike w:val="false"/>
                  <w:color w:val="0000FF"/>
                  <w:sz w:val="20"/>
                  <w:u w:val="none"/>
                  <w:effect w:val="none"/>
                </w:rPr>
                <w:t>43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pPr>
      <w:r>
        <w:rPr>
          <w:rFonts w:ascii="Times New Roman;serif" w:hAnsi="Times New Roman;serif"/>
          <w:b/>
          <w:color w:val="000000"/>
          <w:sz w:val="20"/>
        </w:rPr>
        <w:t>COCA</w:t>
      </w:r>
      <w:r>
        <w:rPr>
          <w:color w:val="000000"/>
        </w:rPr>
        <w:noBreakHyphen/>
      </w:r>
      <w:r>
        <w:rPr>
          <w:rFonts w:ascii="Times New Roman;serif" w:hAnsi="Times New Roman;serif"/>
          <w:b/>
          <w:color w:val="000000"/>
          <w:sz w:val="20"/>
        </w:rPr>
        <w:t>COLA CONSOLIDATED,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403"/>
        <w:gridCol w:w="2033"/>
        <w:gridCol w:w="2041"/>
        <w:gridCol w:w="109"/>
        <w:gridCol w:w="109"/>
        <w:gridCol w:w="109"/>
        <w:gridCol w:w="211"/>
        <w:gridCol w:w="976"/>
        <w:gridCol w:w="109"/>
        <w:gridCol w:w="109"/>
        <w:gridCol w:w="109"/>
        <w:gridCol w:w="109"/>
        <w:gridCol w:w="211"/>
        <w:gridCol w:w="976"/>
        <w:gridCol w:w="109"/>
        <w:gridCol w:w="109"/>
        <w:gridCol w:w="109"/>
        <w:gridCol w:w="109"/>
        <w:gridCol w:w="155"/>
      </w:tblGrid>
      <w:tr>
        <w:trPr/>
        <w:tc>
          <w:tcPr>
            <w:tcW w:w="2403"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delivery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on acquisition related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111,556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103,611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Stock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77,131 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B Common Stock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Stock shares outstanding – assuming dilution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66,623 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B Common Stock shares outstanding – assuming dilution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dividends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COCA</w:t>
      </w:r>
      <w:r>
        <w:rPr>
          <w:color w:val="000000"/>
        </w:rPr>
        <w:noBreakHyphen/>
      </w:r>
      <w:r>
        <w:rPr>
          <w:rFonts w:ascii="Times New Roman;serif" w:hAnsi="Times New Roman;serif"/>
          <w:b/>
          <w:color w:val="000000"/>
          <w:sz w:val="20"/>
        </w:rPr>
        <w:t>COLA CONSOLIDATED,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8677" w:type="dxa"/>
        <w:jc w:val="left"/>
        <w:tblInd w:w="0" w:type="dxa"/>
        <w:tblLayout w:type="fixed"/>
        <w:tblCellMar>
          <w:top w:w="28" w:type="dxa"/>
          <w:left w:w="28" w:type="dxa"/>
          <w:bottom w:w="28" w:type="dxa"/>
          <w:right w:w="28" w:type="dxa"/>
        </w:tblCellMar>
      </w:tblPr>
      <w:tblGrid>
        <w:gridCol w:w="1889"/>
        <w:gridCol w:w="1660"/>
        <w:gridCol w:w="1671"/>
        <w:gridCol w:w="109"/>
        <w:gridCol w:w="109"/>
        <w:gridCol w:w="109"/>
        <w:gridCol w:w="211"/>
        <w:gridCol w:w="841"/>
        <w:gridCol w:w="109"/>
        <w:gridCol w:w="109"/>
        <w:gridCol w:w="109"/>
        <w:gridCol w:w="109"/>
        <w:gridCol w:w="211"/>
        <w:gridCol w:w="841"/>
        <w:gridCol w:w="109"/>
        <w:gridCol w:w="109"/>
        <w:gridCol w:w="109"/>
        <w:gridCol w:w="109"/>
        <w:gridCol w:w="154"/>
      </w:tblGrid>
      <w:tr>
        <w:trPr/>
        <w:tc>
          <w:tcPr>
            <w:tcW w:w="1889"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plan reclassification including pension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Postretirement benefits reclassification including benefit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gain/loss on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112,894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103,597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COCA</w:t>
      </w:r>
      <w:r>
        <w:rPr>
          <w:color w:val="000000"/>
        </w:rPr>
        <w:noBreakHyphen/>
      </w:r>
      <w:r>
        <w:rPr>
          <w:rFonts w:ascii="Times New Roman;serif" w:hAnsi="Times New Roman;serif"/>
          <w:b/>
          <w:color w:val="000000"/>
          <w:sz w:val="20"/>
        </w:rPr>
        <w:t>COLA CONSOLIDATED,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385"/>
        <w:gridCol w:w="2092"/>
        <w:gridCol w:w="2043"/>
        <w:gridCol w:w="109"/>
        <w:gridCol w:w="109"/>
        <w:gridCol w:w="109"/>
        <w:gridCol w:w="211"/>
        <w:gridCol w:w="991"/>
        <w:gridCol w:w="109"/>
        <w:gridCol w:w="109"/>
        <w:gridCol w:w="109"/>
        <w:gridCol w:w="109"/>
        <w:gridCol w:w="267"/>
        <w:gridCol w:w="1256"/>
        <w:gridCol w:w="197"/>
      </w:tblGrid>
      <w:tr>
        <w:trPr/>
        <w:tc>
          <w:tcPr>
            <w:tcW w:w="2385"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281,918 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585,777 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from The Coca</w:t>
              <w:noBreakHyphen/>
              <w:t>Cola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70,197 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108,668 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1,500,407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1,426,674</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1,604,605 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116,611 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property under financing leases,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216,428 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165,903 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agreements,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767,360 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lists,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4,392,708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4,302,998</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LIABILITIES AND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obligations under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obligations under financing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359,107 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to The Coca</w:t>
              <w:noBreakHyphen/>
              <w:t>Cola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182,446 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307,237 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154,899 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1,215,121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1,128,657</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143,738 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postretirement 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69,298 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918,755 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obligations under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95,076 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obligations under financing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2,686,009 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5,036,178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5,042,721</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(Deficit)/Equity: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$1.00 par value: 300,000,000 shares authorized; 56,517,334 shares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$1.00 par value: 100,000,000 shares authorized; 10,046,960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(824,046)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(deficit)/equity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(643,470)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(739,723)</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(deficit)/equity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4,392,708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4,302,998</w:t>
            </w: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COCA</w:t>
      </w:r>
      <w:r>
        <w:rPr>
          <w:color w:val="000000"/>
        </w:rPr>
        <w:noBreakHyphen/>
      </w:r>
      <w:r>
        <w:rPr>
          <w:rFonts w:ascii="Times New Roman;serif" w:hAnsi="Times New Roman;serif"/>
          <w:b/>
          <w:color w:val="000000"/>
          <w:sz w:val="20"/>
        </w:rPr>
        <w:t>COLA CONSOLIDATED,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53"/>
        <w:gridCol w:w="1817"/>
        <w:gridCol w:w="1823"/>
        <w:gridCol w:w="109"/>
        <w:gridCol w:w="109"/>
        <w:gridCol w:w="109"/>
        <w:gridCol w:w="211"/>
        <w:gridCol w:w="881"/>
        <w:gridCol w:w="109"/>
        <w:gridCol w:w="109"/>
        <w:gridCol w:w="109"/>
        <w:gridCol w:w="109"/>
        <w:gridCol w:w="211"/>
        <w:gridCol w:w="991"/>
        <w:gridCol w:w="109"/>
        <w:gridCol w:w="109"/>
        <w:gridCol w:w="109"/>
        <w:gridCol w:w="109"/>
        <w:gridCol w:w="109"/>
        <w:gridCol w:w="109"/>
        <w:gridCol w:w="109"/>
        <w:gridCol w:w="109"/>
        <w:gridCol w:w="109"/>
        <w:gridCol w:w="109"/>
        <w:gridCol w:w="109"/>
        <w:gridCol w:w="156"/>
      </w:tblGrid>
      <w:tr>
        <w:trPr/>
        <w:tc>
          <w:tcPr>
            <w:tcW w:w="2153"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from property, plant and equipment and financing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and deferred proceeds,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 of 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current assets less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205,273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198,171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equity method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disposal of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(68,338)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(139,695)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(185,906)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(42,495)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 during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232,947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1,151,805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Significant 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 accrued and recorded in accounts payable, 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excise taxes related to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COCA</w:t>
      </w:r>
      <w:r>
        <w:rPr>
          <w:color w:val="000000"/>
        </w:rPr>
        <w:noBreakHyphen/>
      </w:r>
      <w:r>
        <w:rPr>
          <w:rFonts w:ascii="Times New Roman;serif" w:hAnsi="Times New Roman;serif"/>
          <w:b/>
          <w:color w:val="000000"/>
          <w:sz w:val="20"/>
        </w:rPr>
        <w:t>COLA CONSOLIDATED,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(DEFICIT)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1695" w:type="dxa"/>
        <w:jc w:val="left"/>
        <w:tblInd w:w="0" w:type="dxa"/>
        <w:tblLayout w:type="fixed"/>
        <w:tblCellMar>
          <w:top w:w="28" w:type="dxa"/>
          <w:left w:w="28" w:type="dxa"/>
          <w:bottom w:w="28" w:type="dxa"/>
          <w:right w:w="28" w:type="dxa"/>
        </w:tblCellMar>
      </w:tblPr>
      <w:tblGrid>
        <w:gridCol w:w="615"/>
        <w:gridCol w:w="277"/>
        <w:gridCol w:w="279"/>
        <w:gridCol w:w="109"/>
        <w:gridCol w:w="109"/>
        <w:gridCol w:w="109"/>
        <w:gridCol w:w="196"/>
        <w:gridCol w:w="661"/>
        <w:gridCol w:w="109"/>
        <w:gridCol w:w="109"/>
        <w:gridCol w:w="109"/>
        <w:gridCol w:w="109"/>
        <w:gridCol w:w="196"/>
        <w:gridCol w:w="661"/>
        <w:gridCol w:w="109"/>
        <w:gridCol w:w="109"/>
        <w:gridCol w:w="109"/>
        <w:gridCol w:w="109"/>
        <w:gridCol w:w="196"/>
        <w:gridCol w:w="661"/>
        <w:gridCol w:w="109"/>
        <w:gridCol w:w="109"/>
        <w:gridCol w:w="109"/>
        <w:gridCol w:w="109"/>
        <w:gridCol w:w="196"/>
        <w:gridCol w:w="751"/>
        <w:gridCol w:w="109"/>
        <w:gridCol w:w="109"/>
        <w:gridCol w:w="109"/>
        <w:gridCol w:w="109"/>
        <w:gridCol w:w="272"/>
        <w:gridCol w:w="792"/>
        <w:gridCol w:w="152"/>
        <w:gridCol w:w="109"/>
        <w:gridCol w:w="109"/>
        <w:gridCol w:w="109"/>
        <w:gridCol w:w="240"/>
        <w:gridCol w:w="497"/>
        <w:gridCol w:w="134"/>
        <w:gridCol w:w="109"/>
        <w:gridCol w:w="109"/>
        <w:gridCol w:w="109"/>
        <w:gridCol w:w="211"/>
        <w:gridCol w:w="437"/>
        <w:gridCol w:w="118"/>
        <w:gridCol w:w="109"/>
        <w:gridCol w:w="109"/>
        <w:gridCol w:w="109"/>
        <w:gridCol w:w="196"/>
        <w:gridCol w:w="751"/>
        <w:gridCol w:w="154"/>
      </w:tblGrid>
      <w:tr>
        <w:trPr/>
        <w:tc>
          <w:tcPr>
            <w:tcW w:w="6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7"/>
              </w:rPr>
            </w:pPr>
            <w:r>
              <w:rPr>
                <w:rFonts w:ascii="Times New Roman;serif" w:hAnsi="Times New Roman;serif"/>
                <w:b w:val="false"/>
                <w:i/>
                <w:color w:val="000000"/>
                <w:sz w:val="17"/>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w:t>
              <w:br/>
              <w:t>Stock - 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 Stock -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br/>
              <w:t>(Deficit)</w:t>
              <w:br/>
              <w:t>Equity</w:t>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on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56,517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10,047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23,764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(824,046)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(6,005)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(739,723)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Common Stock ($0.25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Class B Common Stock ($0.25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on April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56,517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10,047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23,764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(729,131)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(4,667)</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(643,470)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2240" w:type="dxa"/>
        <w:jc w:val="left"/>
        <w:tblInd w:w="0" w:type="dxa"/>
        <w:tblLayout w:type="fixed"/>
        <w:tblCellMar>
          <w:top w:w="28" w:type="dxa"/>
          <w:left w:w="28" w:type="dxa"/>
          <w:bottom w:w="28" w:type="dxa"/>
          <w:right w:w="28" w:type="dxa"/>
        </w:tblCellMar>
      </w:tblPr>
      <w:tblGrid>
        <w:gridCol w:w="615"/>
        <w:gridCol w:w="277"/>
        <w:gridCol w:w="279"/>
        <w:gridCol w:w="109"/>
        <w:gridCol w:w="109"/>
        <w:gridCol w:w="109"/>
        <w:gridCol w:w="196"/>
        <w:gridCol w:w="751"/>
        <w:gridCol w:w="109"/>
        <w:gridCol w:w="109"/>
        <w:gridCol w:w="109"/>
        <w:gridCol w:w="109"/>
        <w:gridCol w:w="196"/>
        <w:gridCol w:w="661"/>
        <w:gridCol w:w="109"/>
        <w:gridCol w:w="109"/>
        <w:gridCol w:w="109"/>
        <w:gridCol w:w="109"/>
        <w:gridCol w:w="196"/>
        <w:gridCol w:w="661"/>
        <w:gridCol w:w="109"/>
        <w:gridCol w:w="109"/>
        <w:gridCol w:w="109"/>
        <w:gridCol w:w="109"/>
        <w:gridCol w:w="196"/>
        <w:gridCol w:w="886"/>
        <w:gridCol w:w="109"/>
        <w:gridCol w:w="109"/>
        <w:gridCol w:w="109"/>
        <w:gridCol w:w="109"/>
        <w:gridCol w:w="272"/>
        <w:gridCol w:w="792"/>
        <w:gridCol w:w="152"/>
        <w:gridCol w:w="109"/>
        <w:gridCol w:w="109"/>
        <w:gridCol w:w="109"/>
        <w:gridCol w:w="196"/>
        <w:gridCol w:w="751"/>
        <w:gridCol w:w="109"/>
        <w:gridCol w:w="109"/>
        <w:gridCol w:w="109"/>
        <w:gridCol w:w="109"/>
        <w:gridCol w:w="196"/>
        <w:gridCol w:w="461"/>
        <w:gridCol w:w="109"/>
        <w:gridCol w:w="109"/>
        <w:gridCol w:w="109"/>
        <w:gridCol w:w="109"/>
        <w:gridCol w:w="196"/>
        <w:gridCol w:w="886"/>
        <w:gridCol w:w="154"/>
      </w:tblGrid>
      <w:tr>
        <w:trPr/>
        <w:tc>
          <w:tcPr>
            <w:tcW w:w="6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7"/>
              </w:rPr>
            </w:pPr>
            <w:r>
              <w:rPr>
                <w:rFonts w:ascii="Times New Roman;serif" w:hAnsi="Times New Roman;serif"/>
                <w:b w:val="false"/>
                <w:i/>
                <w:color w:val="000000"/>
                <w:sz w:val="17"/>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w:t>
              <w:br/>
              <w:t>Stock - 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 Stock -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br/>
              <w:t>Equity</w:t>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on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108,327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16,328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23,764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1,395,183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1,885</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(127,467)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(409)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1,417,611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Common Stock ($0.25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Class B Common Stock ($0.25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on March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108,327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16,328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23,764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1,477,000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1,871</w:t>
            </w:r>
            <w:r>
              <w:rPr>
                <w:color w:val="000000"/>
              </w:rPr>
              <w:t>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(127,467)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(409)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1,499,414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COCA</w:t>
      </w:r>
      <w:r>
        <w:rPr>
          <w:color w:val="000000"/>
        </w:rPr>
        <w:noBreakHyphen/>
      </w:r>
      <w:r>
        <w:rPr>
          <w:rFonts w:ascii="Times New Roman;serif" w:hAnsi="Times New Roman;serif"/>
          <w:b/>
          <w:color w:val="000000"/>
          <w:sz w:val="20"/>
        </w:rPr>
        <w:t>COLA CONSOLIDATED,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    Critical Accounting Policies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and the consolidated operations of Coca</w:t>
        <w:noBreakHyphen/>
        <w:t>Cola Consolidated, Inc. and its majority-owned subsidiaries (collectively referred to herein as the “Company”). All significant intercompany accounts and transactions have been eliminated. The condensed consolidated financial statements reflect all adjustments, including normal, recurring accruals, which, in the opinion of management, are necessary for a fair statement of the results for the periods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of the Company’s quarters, other than the fourth quarter, ends on the Friday closest to the last day of the corresponding quarterly calendar period. The Company’s fourth quarter and fiscal year end on December 31 regardless of the day of the week on which December 31 falls. The condensed consolidated financial statements presented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financial position as of April 3, 2026 and December 31,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results of operations, comprehensive income and changes in stockholders’ (deficit) equity for the three-month periods ended April 3, 2026 (the “first quarter” of fiscal 2026 (“2026”)) and March 28, 2025 (the “first quarter” of fiscal 2025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changes in cash flows for the first quarter of 2026 and the first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have been prepared in accordance with accounting principles generally accepted in the United States (“GAAP”) for interim financial reporting and the instructions to Form 10-Q and Article 10 of Regulation S-X. The accounting policies followed in the presentation of interim financial results are consistent with those followed on an annual basis. These policies are presented in Note 1 to the consolidated financial statements included in the Company’s Annual Report on Form 10-K for 2025 filed with the United States Securities and Exchange Commission.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Critical Accounting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has made a number of estimates and assumptions relating to the reporting of its results of operations and financial position in the preparation of its condensed consolidated financial statements in conformity with GAAP. Actual results could differ significantly from those estimates under different assumptions and conditions. The Company included in its Annual Report on Form 10-K for 2025 under the caption “Discussion of Critical Accounting Estimates” in “Item 7. Management’s Discussion and Analysis of Financial Condition and Results of Operations,” a discussion of the Company’s most critical accounting estimates, which are those the Company believes to be the most important to the portrayal of its financial condition and results of operations and that require management’s most difficult, subjective and complex judgments, often as a result of the need to make estimates about the effect of matters that are inherently uncertain.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changes in critical accounting estimates are discussed with the Audit Committee of the Company’s Board of Directors during the quarter in which a change is contemplated and prior to making such 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2023, the Financial Accounting Standards Board (the “FASB”) issued Accounting Standards Update (“ASU”) 2023-09, “Income Taxes (Topic 740): Improvements to Income Tax Disclosures,” which requires disclosure of specific categories in the rate reconciliation, including additional information for reconciling items that meet a quantitative threshold, and specific disaggregation of income taxes paid and tax expense. The amendment is effective for fiscal years beginning after December 15, 2024. The Company adopted ASU 2023-09 in the fourth quarter of 2025, noting no material impact on its consolidated financial statements. See Note 16 for disclosure related to the Company’s income tax reporting.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which requires disclosure of disaggregated income expenses, including purchases of inventory, employee compensation, depreciation, and intangible asset amortization, among other things. The amendment also requires companies to provide a qualitative description of expense captions not separately disaggregated, as well as the total amount of selling expenses and, annually, the entity’s definition of selling expenses. The amendment is effective for fiscal years beginning after December 15, 2026 and interim periods beginning after December 15, 2027. The Company is in the process of evaluating the impact ASU 2024-03 will have on its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2.    Related Party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J. Frank Harrison, III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April 3, 2026, J. Frank Harrison, III, Chairman of the Board of Directors and Chief Executive Officer of the Company, controlled 10,043,940 shares of Class B Common Stock, which represented approximately 78% of the total voting power of the outstanding Common Stock and Class B Common Stock on a consolidated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Coca</w:t>
        <w:noBreakHyphen/>
        <w:t>Cola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business consists primarily of the distribution, marketing and manufacture of nonalcoholic beverages of The Coca</w:t>
        <w:noBreakHyphen/>
        <w:t>Cola Company, which is the sole owner of the formulas under which the primary components of the Company’s soft drink products, either concentrate or syrup, are manufactured.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November 7, 2025, the Company entered into a purchase agreement (the “Repurchase Agreement”) with Carolina Coca-Cola Bottling Investments, Inc. (the</w:t>
      </w:r>
      <w:r>
        <w:rPr>
          <w:color w:val="000000"/>
        </w:rPr>
        <w:t xml:space="preserve"> “</w:t>
      </w:r>
      <w:r>
        <w:rPr>
          <w:rFonts w:ascii="Times New Roman;serif" w:hAnsi="Times New Roman;serif"/>
          <w:b w:val="false"/>
          <w:color w:val="000000"/>
          <w:sz w:val="20"/>
        </w:rPr>
        <w:t>Seller”), an indirect wholly owned subsidiary of The Coca</w:t>
        <w:noBreakHyphen/>
        <w:t>Cola Company, The Coca</w:t>
        <w:noBreakHyphen/>
        <w:t>Cola Company and J. Frank Harrison, III, pursuant to which the Company agreed to purchase and the Seller agreed to sell all of the Seller’s shares of Common Stock for a cash payment in the aggregate amount of $2.40 billion (the “Repurchase”). The closing of the Repurchase also occurred on November 7, 2025. The Company funded the purchase price for the Repurchase with cash on hand and a term loan obtained under a certain bridge loan agreement (the “Bridge Facility”), as further discussed in Note 19.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result of the Repurchase, The Coca</w:t>
        <w:noBreakHyphen/>
        <w:t>Cola Company does not own any shares of Common Stock or Class B Common Stock. The Coca</w:t>
        <w:noBreakHyphen/>
        <w:t>Cola Company no longer has the right to have a designee proposed by the Company for nomination to the Company’s Board of Directors at each election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cash transactions between the Company and The Coca</w:t>
        <w:noBreakHyphen/>
        <w:t>Cola Company:</w:t>
      </w:r>
    </w:p>
    <w:p>
      <w:pPr>
        <w:pStyle w:val="TextBody"/>
        <w:bidi w:val="0"/>
        <w:spacing w:before="0" w:after="0"/>
        <w:jc w:val="left"/>
        <w:rPr/>
      </w:pPr>
      <w:r>
        <w:rPr/>
      </w:r>
    </w:p>
    <w:tbl>
      <w:tblPr>
        <w:tblW w:w="8691" w:type="dxa"/>
        <w:jc w:val="left"/>
        <w:tblInd w:w="0" w:type="dxa"/>
        <w:tblLayout w:type="fixed"/>
        <w:tblCellMar>
          <w:top w:w="28" w:type="dxa"/>
          <w:left w:w="28" w:type="dxa"/>
          <w:bottom w:w="28" w:type="dxa"/>
          <w:right w:w="28" w:type="dxa"/>
        </w:tblCellMar>
      </w:tblPr>
      <w:tblGrid>
        <w:gridCol w:w="1906"/>
        <w:gridCol w:w="1677"/>
        <w:gridCol w:w="1681"/>
        <w:gridCol w:w="109"/>
        <w:gridCol w:w="109"/>
        <w:gridCol w:w="109"/>
        <w:gridCol w:w="211"/>
        <w:gridCol w:w="826"/>
        <w:gridCol w:w="109"/>
        <w:gridCol w:w="109"/>
        <w:gridCol w:w="109"/>
        <w:gridCol w:w="109"/>
        <w:gridCol w:w="211"/>
        <w:gridCol w:w="826"/>
        <w:gridCol w:w="109"/>
        <w:gridCol w:w="109"/>
        <w:gridCol w:w="109"/>
        <w:gridCol w:w="109"/>
        <w:gridCol w:w="154"/>
      </w:tblGrid>
      <w:tr>
        <w:trPr/>
        <w:tc>
          <w:tcPr>
            <w:tcW w:w="1906"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Payments made by the Company to The Coca-Cola Company</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made by The Coca-Cola Company to the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This excludes acquisition related sub-bottling payments made by the Company to CCR (as defined below), a wholly owned subsidiary of The Coca</w:t>
        <w:noBreakHyphen/>
        <w:t>Cola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More than 80% of the payments made by the Company to The Coca</w:t>
        <w:noBreakHyphen/>
        <w:t>Cola Company were for concentrate, syrup, sweetener and other finished goods products, which were recorded in cost of sales in the condensed consolidated statements of operations and represent the primary components of the soft drink products the Company manufactures and distributes. Payments made by the Company to The Coca</w:t>
        <w:noBreakHyphen/>
        <w:t>Cola Company also included payments for marketing programs associated with large, national customers managed by The Coca</w:t>
        <w:noBreakHyphen/>
        <w:t>Cola Company on behalf of the Company, which were recorded as a reduction to net sales in the condensed consolidated statements of operations. Other payments made by the Company to The Coca</w:t>
        <w:noBreakHyphen/>
        <w:t>Cola Company related to cold drink equipment parts, fees associated with the rights to distribute certain brands and other customary items.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Payments made by The Coca</w:t>
        <w:noBreakHyphen/>
        <w:t>Cola Company to the Company included annual funding in connection with the Company’s agreement to support certain business initiatives developed by The Coca</w:t>
        <w:noBreakHyphen/>
        <w:t xml:space="preserve">Cola Company and funding associated with the delivery of post-mix products to various customers, both of which were recorded as a reduction to cost of sales in the condensed consolidated statements of operations. Post-mix products are dispensed through equipment that mixes fountain syrups with carbonated or still water, enabling fountain retailers to sell finished products to consumers in cups or glasses. Payments made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Coca</w:t>
        <w:noBreakHyphen/>
        <w:t>Cola Company to the Company also included fountain product delivery and equipment repair services performed by the Company on The Coca</w:t>
        <w:noBreakHyphen/>
        <w:t>Cola Company’s equipment, all of which were recorded in net sales in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Coca</w:t>
        <w:noBreakHyphen/>
        <w:t>Cola Refreshments USA, LLC (“CCR”)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The Coca</w:t>
        <w:noBreakHyphen/>
        <w:t>Cola Company and CCR entered into comprehensive beverage agreements (as amended, collectively, the “CBA”), related to a multi-year series of transactions, which were completed in October 2017, through which the Company acquired and exchanged distribution territories and manufacturing plants (the “System Transformation”). The CBA requires the Company to make quarterly acquisition related sub-bottling payments to CCR on a continuing basis in exchange for the grant of exclusive rights to distribute, promote, market and sell the authorized brands of The Coca</w:t>
        <w:noBreakHyphen/>
        <w:t>Cola Company and related products in certain distribution territories the Company acquired from CCR. These acquisition related sub-bottling payments are based on gross profit derived from the Company’s sales of certain beverages and beverage products that are sold under the same trademarks that identify a covered beverage, a beverage product or certain cross-licensed brands applicable to the System Transformation.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related sub-bottling payments to CCR were $19.1 million in the first quarter of 2026 and $19.8 million in the first quarter of 2025. The following table summarizes the liability recorded by the Company to reflect the estimated fair value of contingent consideration related to future expected acquisition related sub-bottling payments to CCR:</w:t>
      </w:r>
    </w:p>
    <w:p>
      <w:pPr>
        <w:pStyle w:val="TextBody"/>
        <w:bidi w:val="0"/>
        <w:spacing w:before="0" w:after="0"/>
        <w:jc w:val="left"/>
        <w:rPr/>
      </w:pPr>
      <w:r>
        <w:rPr/>
      </w:r>
    </w:p>
    <w:tbl>
      <w:tblPr>
        <w:tblW w:w="9172" w:type="dxa"/>
        <w:jc w:val="left"/>
        <w:tblInd w:w="0" w:type="dxa"/>
        <w:tblLayout w:type="fixed"/>
        <w:tblCellMar>
          <w:top w:w="28" w:type="dxa"/>
          <w:left w:w="28" w:type="dxa"/>
          <w:bottom w:w="28" w:type="dxa"/>
          <w:right w:w="28" w:type="dxa"/>
        </w:tblCellMar>
      </w:tblPr>
      <w:tblGrid>
        <w:gridCol w:w="2003"/>
        <w:gridCol w:w="1763"/>
        <w:gridCol w:w="1768"/>
        <w:gridCol w:w="109"/>
        <w:gridCol w:w="109"/>
        <w:gridCol w:w="109"/>
        <w:gridCol w:w="220"/>
        <w:gridCol w:w="880"/>
        <w:gridCol w:w="114"/>
        <w:gridCol w:w="109"/>
        <w:gridCol w:w="109"/>
        <w:gridCol w:w="109"/>
        <w:gridCol w:w="309"/>
        <w:gridCol w:w="1235"/>
        <w:gridCol w:w="226"/>
      </w:tblGrid>
      <w:tr>
        <w:trPr/>
        <w:tc>
          <w:tcPr>
            <w:tcW w:w="2003"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acquisition related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681,910 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acquisition related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753,029</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717,908</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Southeastern Container (“Southeastern”)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a shareholder of Southeastern, a plastic bottle manufacturing cooperative. The Company accounts for Southeastern as an equity method investment. The Company’s investment in Southeastern, which was classified as other assets in the condensed consolidated balance sheets, was $21.3 million as of both April 3, 2026 and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South Atlantic Canners, Inc. (“SAC”)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a shareholder of SAC, a manufacturing cooperative located in Bishopville, South Carolina. All of SAC’s shareholders are Coca</w:t>
        <w:noBreakHyphen/>
        <w:t>Cola bottlers and each has equal voting rights. The Company accounts for SAC as an equity method investment. The Company’s investment in SAC, which was classified as other assets in the condensed consolidated balance sheets, was $37.5 million as of April 3, 2026 and $35.0 million as of December 31, 2025. The Company also guarantees a portion of SAC’s debt. As of both April 3, 2026 and December 31, 2025, the Company was not required to guarantee any of SAC’s debt. See Note 20 for additional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receives a fee for managing the day-to-day operations of SAC pursuant to a management agreement. Proceeds from management fees received from SAC, which were recorded as a reduction to cost of sales in the condensed consolidated statements of operations, were $2.6 million in the first quarter of 2026 and $2.3 million in the first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Coca</w:t>
        <w:noBreakHyphen/>
        <w:t>Cola Bottlers’ Sales &amp; Services Company LLC (“CCBSS”)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Along with all other Coca</w:t>
        <w:noBreakHyphen/>
        <w:t>Cola bottlers in the United States and Canada, the Company is a member of CCBSS, a company formed to provide certain procurement and other services with the intention of enhancing the efficiency and competitiveness of the Coca</w:t>
        <w:noBreakHyphen/>
        <w:t>Cola bottling system. The Company accounts for CCBSS as an equity method investment and its investment in CCBSS is not material.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CCBSS negotiates the procurement for the majority of the Company’s raw materials, excluding concentrate, and the Company receives a rebate from CCBSS for the purchase of these raw materials. The Company had rebates due from CCBSS of $14.7 million on April 3, 2026 and $17.3 million on December 31, 2025, which were classified as accounts receivable, other in the condensed consolidated balance sheets. Changes in rebates receivable relate to volatility in raw material prices and the timing of cash receipts of rebates.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CONA Services LLC (“CONA”)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Along with certain other Coca</w:t>
        <w:noBreakHyphen/>
        <w:t>Cola bottlers, the Company is a member of CONA, an entity formed to provide business process and information technology services to its members. The Company accounts for CONA as an equity method investment. The Company’s investment in CONA, which was classified as other assets in the condensed consolidated balance sheets, was $30.4 million as of April 3, 2026 and $30.2 million as of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an amended and restated master services agreement with CONA, the Company is authorized to use the Coke One North America system (the “CONA System”), a uniform information technology system developed to promote operational efficiency and uniformity among North American Coca</w:t>
        <w:noBreakHyphen/>
        <w:t>Cola bottlers. In exchange for the Company’s rights to use the CONA System and receive CONA-related services, it is charged service fees by CONA. The Company incurred service fees to CONA of $6.3 million in the first quarter of 2026 and $6.0 million in the first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Related Party Leases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leases its headquarters office facility and an adjacent office facility in Charlotte, North Carolina from Beacon Investment Corporation, of which J. Frank Harrison, III is the majority stockholder and each of Morgan H. Everett, Vice Chair of the Company’s Board of Directors, and the spouse of Ellison C. Glenn, the Company’s Chief Sales and Service Officer, is a minority stockholder. The annual base rent the Company is obligated to pay under this lease is subject to an adjustment for an inflation factor and the lease expires on December 31, 2029. Rental payments for this lease were $1.0 million in both the first quarter of 2026 and the first quarter of 2025. The principal balance outstanding under this lease was $15.0 million on April 3, 2026 and $15.9 million on December 31,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Long-Term Performance Equity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Long-Term Performance Equity Plan compensates J. Frank Harrison, III based on the Company’s performance. Awards granted to Mr. Harrison under the Long-Term Performance Equity Plan are earned based on the Company’s attainment during a performance period of certain performance measures, each as specified by the Compensation Committee of the Company’s Board of Directors. These awards may be settled in cash and/or shares of Class B Common Stock, based on the average of the closing prices of shares of Common Stock during the last 20 trading days of the performance period. Compensation expense for the Long-Term Performance Equity Plan, which was included in selling, delivery and administrative (“SD&amp;A”) expenses in the condensed consolidated statements of operations, was $2.2 million in the first quarter of 2026 and $2.1 million in the first quarter of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sales are divided into two main categories: (i) bottle/can sales and (ii) other sales. Bottle/can sales include products packaged primarily in plastic bottles and aluminum cans. Bottle/can net pricing is based on the invoice price charged to customers reduced by any promotional allowances. Bottle/can net pricing per unit is impacted by the price charged per package, the sales volume generated for each package and the channels in which those packages are sold. Other sales include sales to other Coca</w:t>
        <w:noBreakHyphen/>
        <w:t>Cola bottlers, post-mix sales, transportation revenue and equipment maintenance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contracts are derived from customer orders, including customer sales incentives, generated through an order processing and replenishment model. Generally, the Company’s service contracts and contracts related to the delivery of specifically identifiable products have a single performance obligation. Revenues do not include sales or other taxes collected from customers. The Company has defined its performance obligations for its contracts as either at a point in time or over time. Bottle/can sales, sales to other Coca</w:t>
        <w:noBreakHyphen/>
        <w:t>Cola bottlers and post-mix sales are recognized when control transfers to a customer, which is generally upon delivery and is considered a single point in time (“point in time”). Point in time sales accounted for approximately 99% of the Company’s net sales in the first quarter of 2026 and approximately 98% of the Company’s net sales in the first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sales, which include revenue for service fees related to the repair of cold drink equipment and delivery fees for freight hauling and brokerage services, are recognized over time (“over time”). Revenues related to cold drink equipment repair are recognized as the respective services are completed using a cost-to-cost input method. Repair services are generally completed in less than one day but can extend up to one month. Revenues related to freight hauling and brokerage services are recognized as the delivery occurs using a miles driven output method. Generally, delivery occurs and freight charges are recognized in the same day. Over time sales orders open at the end of a financial period are not material to the condensed consolidated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a disaggregation of revenue from contracts with customers:</w:t>
      </w:r>
    </w:p>
    <w:p>
      <w:pPr>
        <w:pStyle w:val="TextBody"/>
        <w:bidi w:val="0"/>
        <w:spacing w:before="0" w:after="0"/>
        <w:jc w:val="left"/>
        <w:rPr/>
      </w:pPr>
      <w:r>
        <w:rPr/>
      </w:r>
    </w:p>
    <w:tbl>
      <w:tblPr>
        <w:tblW w:w="7072" w:type="dxa"/>
        <w:jc w:val="left"/>
        <w:tblInd w:w="0" w:type="dxa"/>
        <w:tblLayout w:type="fixed"/>
        <w:tblCellMar>
          <w:top w:w="28" w:type="dxa"/>
          <w:left w:w="28" w:type="dxa"/>
          <w:bottom w:w="28" w:type="dxa"/>
          <w:right w:w="28" w:type="dxa"/>
        </w:tblCellMar>
      </w:tblPr>
      <w:tblGrid>
        <w:gridCol w:w="1201"/>
        <w:gridCol w:w="1055"/>
        <w:gridCol w:w="1059"/>
        <w:gridCol w:w="109"/>
        <w:gridCol w:w="109"/>
        <w:gridCol w:w="109"/>
        <w:gridCol w:w="211"/>
        <w:gridCol w:w="991"/>
        <w:gridCol w:w="109"/>
        <w:gridCol w:w="109"/>
        <w:gridCol w:w="109"/>
        <w:gridCol w:w="109"/>
        <w:gridCol w:w="211"/>
        <w:gridCol w:w="991"/>
        <w:gridCol w:w="109"/>
        <w:gridCol w:w="109"/>
        <w:gridCol w:w="109"/>
        <w:gridCol w:w="109"/>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Point in time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Nonalcoholic Beverages - 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point in time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1,819,676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1,555,765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Over time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Nonalcoholic Beverages - over time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 over time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over time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1,846,668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1,579,977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Due to the dissolution of the Data Ventures, Inc. operating segment as of December 31, 2025 (as discussed in Note 4), these figures have been retroactively adjusted for all prior periods presented to reflect the dissolution of the Data Ventures, Inc. operating segment within the “All Other - over time” category and the merger of the Data Ventures, Inc. operating segment with the Nonalcoholic Beverages operating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allowance for doubtful accounts in the condensed consolidated balance sheets includes a reserve for customer returns and an allowance for credit losses. The Company experiences customer returns primarily as a result of damaged or out-of-date product. At any given time, the Company estimates less than 1% of bottle/can sales and post-mix sales could be at risk for return by customers. Returned product is recognized as a reduction to net sales. The Company’s reserve for customer returns was $6.2 million as of April 3, 2026 and $6.0 million as of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estimates an allowance for credit losses, based on historic days’ sales outstanding trends, aged customer balances, previously written-off balances and expected recoveries up to balances previously written off, in order to present the net amount expected to be collected. Accounts receivable balances are written off when determined uncollectible and are recognized as a reduction to the allowance for credit losses. Following is a summary of activity for the allowance for credit losses during the first quarter of 2026 and the first quarter of 2025:</w:t>
      </w:r>
    </w:p>
    <w:p>
      <w:pPr>
        <w:pStyle w:val="TextBody"/>
        <w:bidi w:val="0"/>
        <w:spacing w:before="0" w:after="0"/>
        <w:jc w:val="left"/>
        <w:rPr/>
      </w:pPr>
      <w:r>
        <w:rPr/>
      </w:r>
    </w:p>
    <w:tbl>
      <w:tblPr>
        <w:tblW w:w="7670" w:type="dxa"/>
        <w:jc w:val="left"/>
        <w:tblInd w:w="0" w:type="dxa"/>
        <w:tblLayout w:type="fixed"/>
        <w:tblCellMar>
          <w:top w:w="28" w:type="dxa"/>
          <w:left w:w="28" w:type="dxa"/>
          <w:bottom w:w="28" w:type="dxa"/>
          <w:right w:w="28" w:type="dxa"/>
        </w:tblCellMar>
      </w:tblPr>
      <w:tblGrid>
        <w:gridCol w:w="1835"/>
        <w:gridCol w:w="1615"/>
        <w:gridCol w:w="1619"/>
        <w:gridCol w:w="109"/>
        <w:gridCol w:w="109"/>
        <w:gridCol w:w="109"/>
        <w:gridCol w:w="211"/>
        <w:gridCol w:w="631"/>
        <w:gridCol w:w="109"/>
        <w:gridCol w:w="109"/>
        <w:gridCol w:w="109"/>
        <w:gridCol w:w="109"/>
        <w:gridCol w:w="211"/>
        <w:gridCol w:w="631"/>
        <w:gridCol w:w="154"/>
      </w:tblGrid>
      <w:tr>
        <w:trPr/>
        <w:tc>
          <w:tcPr>
            <w:tcW w:w="183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 -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9,524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charged to expenses and as a reduction to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balance -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8,735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4.    Segments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evaluates segment reporting in accordance with FASB Accounting Standards Codification Topic 280, Segment Reporting, each reporting period, including evaluating the reporting package reviewed by the Chief Operation Decision Maker (the “CODM”). The Company has concluded the Chief Executive Officer, the Chief Operating Officer and the Chief Financial Officer, as a group, represent the CODM. Segment asset information is not provided to the CODM.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two operating segments, each identified by its unique products and services. Nonalcoholic Beverages represents the vast majority of the Company’s consolidated net sales and income from operations. The accounting policies of the Nonalcoholic Beverages operating segment are the same as those described in the summary of significant accounting policies presented in Note 1 to the consolidated financial statements included in the Company’s Annual Report on Form 10-K for 2025. The additional operating segment, which includes the Red Classic subsidiaries, does not meet the quantitative threshold for separate reporting and, therefore, has been reported as “All Other.”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Previously, the Company had three operating segments, Nonalcoholic Beverages and two additional operating segments, which included Data Ventures, Inc. and the Red Classic subsidiaries. Since the two additional operating segments did not meet the quantitative thresholds for separate reporting, either individually or in the aggregate, they were combined into “All Other.” As of December 31, 2025, the Data Ventures, Inc. operating segment was liquidated, dissolved and merged into the Nonalcoholic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Beverages operating segment. For reporting purposes, all prior periods presented have been retroactively adjusted to reflect the dissolution of the Data Ventures, Inc. operating segment within the All Other operating segment and the merger of the Data Ventures, Inc. operating segment with the Nonalcoholic Beverages operating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CODM uses net sales, gross profit and income from operations in the annual budgeting and forecasting process. Monthly, the CODM considers budget-to-actual variances and current year to prior year variances for these profit measures when making strategic business decisions and allocating resources to Company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segment results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2"/>
        <w:gridCol w:w="1074"/>
        <w:gridCol w:w="1020"/>
        <w:gridCol w:w="109"/>
        <w:gridCol w:w="109"/>
        <w:gridCol w:w="109"/>
        <w:gridCol w:w="301"/>
        <w:gridCol w:w="1397"/>
        <w:gridCol w:w="155"/>
        <w:gridCol w:w="109"/>
        <w:gridCol w:w="109"/>
        <w:gridCol w:w="109"/>
        <w:gridCol w:w="211"/>
        <w:gridCol w:w="721"/>
        <w:gridCol w:w="109"/>
        <w:gridCol w:w="109"/>
        <w:gridCol w:w="109"/>
        <w:gridCol w:w="109"/>
        <w:gridCol w:w="262"/>
        <w:gridCol w:w="921"/>
        <w:gridCol w:w="137"/>
        <w:gridCol w:w="109"/>
        <w:gridCol w:w="109"/>
        <w:gridCol w:w="109"/>
        <w:gridCol w:w="211"/>
        <w:gridCol w:w="976"/>
        <w:gridCol w:w="160"/>
      </w:tblGrid>
      <w:tr>
        <w:trPr/>
        <w:tc>
          <w:tcPr>
            <w:tcW w:w="124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 2026</w:t>
            </w:r>
          </w:p>
        </w:tc>
      </w:tr>
      <w:tr>
        <w:trPr/>
        <w:tc>
          <w:tcPr>
            <w:tcW w:w="3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Nonalcoholic Beverages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Eliminations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1,833,819 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(76,631)</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1,846,668 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1,124,213 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1,119,588 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(18,553)</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727,080 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delivery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Fleet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 expense</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segment items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delivery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478,228</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(18,553)</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489,556</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231,378</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237,524</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depreciation and amortization expense</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51,590 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56,902 </w:t>
            </w:r>
          </w:p>
        </w:tc>
        <w:tc>
          <w:tcPr>
            <w:tcW w:w="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2"/>
        <w:gridCol w:w="1074"/>
        <w:gridCol w:w="1020"/>
        <w:gridCol w:w="109"/>
        <w:gridCol w:w="109"/>
        <w:gridCol w:w="109"/>
        <w:gridCol w:w="301"/>
        <w:gridCol w:w="1397"/>
        <w:gridCol w:w="155"/>
        <w:gridCol w:w="109"/>
        <w:gridCol w:w="109"/>
        <w:gridCol w:w="109"/>
        <w:gridCol w:w="211"/>
        <w:gridCol w:w="721"/>
        <w:gridCol w:w="109"/>
        <w:gridCol w:w="109"/>
        <w:gridCol w:w="109"/>
        <w:gridCol w:w="109"/>
        <w:gridCol w:w="262"/>
        <w:gridCol w:w="921"/>
        <w:gridCol w:w="137"/>
        <w:gridCol w:w="109"/>
        <w:gridCol w:w="109"/>
        <w:gridCol w:w="109"/>
        <w:gridCol w:w="211"/>
        <w:gridCol w:w="976"/>
        <w:gridCol w:w="160"/>
      </w:tblGrid>
      <w:tr>
        <w:trPr/>
        <w:tc>
          <w:tcPr>
            <w:tcW w:w="124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 2025</w:t>
            </w:r>
          </w:p>
        </w:tc>
      </w:tr>
      <w:tr>
        <w:trPr/>
        <w:tc>
          <w:tcPr>
            <w:tcW w:w="3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Nonalcoholic Beverages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Eliminations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1,569,097 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(64,230)</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1,579,977 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954,935 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952,873 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614,162 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627,104 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delivery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Fleet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 expense</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segment items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delivery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426,919</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(16,875)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437,284</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187,243</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189,820</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depreciation and amortization expense</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48,050 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53,373 </w:t>
            </w:r>
          </w:p>
        </w:tc>
        <w:tc>
          <w:tcPr>
            <w:tcW w:w="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 entire net sales elimination represents net sales from the All Other operating segment to the Nonalcoholic Beverages operating segment. The entire cost of goods sold and SD&amp;A eliminations represent costs incurred by the All Other operating segment in the generation of net sales to the Nonalcoholic Beverages operating segment.</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Payroll costs includes compensation, incentive plans, defined contribution plans, healthcare benefits and tax-advantaged spending accounts.</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Fleet costs includes fleet repairs, maintenance and fuel and oil costs.</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Total depreciation and amortization expense is included within both cost of goods sold and SD&amp;A expenses. For segment reporting, the difference between total depreciation and amortization expense and the portion within SD&amp;A expenses is the amount within cost of goods sold.</w:t>
      </w:r>
    </w:p>
    <w:p>
      <w:pPr>
        <w:pStyle w:val="TextBody"/>
        <w:bidi w:val="0"/>
        <w:spacing w:lineRule="auto" w:line="288" w:before="0" w:after="0"/>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All other segment items includes information technology costs, stewardship, insurance and other costs incurred in the selling and delivery of the Company’s products.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5.    Net Income Per Share</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net income per share and diluted net income per share under the two-class method: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76"/>
        <w:gridCol w:w="2129"/>
        <w:gridCol w:w="2141"/>
        <w:gridCol w:w="109"/>
        <w:gridCol w:w="109"/>
        <w:gridCol w:w="109"/>
        <w:gridCol w:w="211"/>
        <w:gridCol w:w="841"/>
        <w:gridCol w:w="109"/>
        <w:gridCol w:w="109"/>
        <w:gridCol w:w="109"/>
        <w:gridCol w:w="109"/>
        <w:gridCol w:w="211"/>
        <w:gridCol w:w="841"/>
        <w:gridCol w:w="109"/>
        <w:gridCol w:w="109"/>
        <w:gridCol w:w="109"/>
        <w:gridCol w:w="109"/>
        <w:gridCol w:w="156"/>
      </w:tblGrid>
      <w:tr>
        <w:trPr/>
        <w:tc>
          <w:tcPr>
            <w:tcW w:w="2476"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6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basic and diluted net income per Common Stock and Class B Common Stock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undistributed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94,915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81,817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undistributed earnings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undistributed earnings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undistributed earnings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94,915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81,817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undistributed earnings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undistributed earnings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undistributed earnings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94,915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81,817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basic net income per Common Stock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undistributed earnings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basic net income per Common Stock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94,718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91,670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basic net income per Class B Common Stock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undistributed earnings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basic net income per Class B Common Stock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diluted net income per Common Stock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Class B Common Stock assumed converted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undistributed earnings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diluted net income per Common Stock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111,556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103,611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diluted net income per Class B Common Stock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undistributed earnings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diluted net income per Class B Common Stock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16,910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12,013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32"/>
        <w:gridCol w:w="2330"/>
        <w:gridCol w:w="2344"/>
        <w:gridCol w:w="109"/>
        <w:gridCol w:w="109"/>
        <w:gridCol w:w="109"/>
        <w:gridCol w:w="211"/>
        <w:gridCol w:w="511"/>
        <w:gridCol w:w="109"/>
        <w:gridCol w:w="109"/>
        <w:gridCol w:w="109"/>
        <w:gridCol w:w="109"/>
        <w:gridCol w:w="211"/>
        <w:gridCol w:w="511"/>
        <w:gridCol w:w="109"/>
        <w:gridCol w:w="109"/>
        <w:gridCol w:w="109"/>
        <w:gridCol w:w="109"/>
        <w:gridCol w:w="156"/>
      </w:tblGrid>
      <w:tr>
        <w:trPr/>
        <w:tc>
          <w:tcPr>
            <w:tcW w:w="2732"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 for basic net income per Common Stock and Class B Common Stock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weighted average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weighted average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 for diluted net income per Common Stock and Class B Common Stock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weighted average shares outstanding – diluted (assumes conversion of Class B Common Stock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weighted average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TO TABLE</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For purposes of the diluted net income per share computation for Common Stock, all shares of Class B Common Stock are assumed to be converted; therefore, 100% of undistributed earnings is allocated to Common Stock.</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For purposes of the diluted net income per share computation for Class B Common Stock, weighted average shares of Class B Common Stock are assumed to be outstanding for the entire period and not converted.</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 xml:space="preserve">For periods presented during which the Company has net income, the denominator for diluted net income per share for Common Stock and Class B Common Stock includes the dilutive effect of unvested performance shares relative to the </w:t>
      </w:r>
      <w:r>
        <w:rPr>
          <w:rFonts w:ascii="Times New Roman;serif" w:hAnsi="Times New Roman;serif"/>
          <w:b w:val="false"/>
          <w:color w:val="000000"/>
          <w:sz w:val="20"/>
          <w:shd w:fill="FFFFFF" w:val="clear"/>
        </w:rPr>
        <w:t>Long-Term Performance Equity Plan</w:t>
      </w:r>
      <w:r>
        <w:rPr>
          <w:rFonts w:ascii="Times New Roman;serif" w:hAnsi="Times New Roman;serif"/>
          <w:b w:val="false"/>
          <w:color w:val="000000"/>
          <w:sz w:val="20"/>
        </w:rPr>
        <w:t xml:space="preserve">. For periods presented during which the Company has net loss, the unvested performance shares granted pursuant to the </w:t>
      </w:r>
      <w:r>
        <w:rPr>
          <w:rFonts w:ascii="Times New Roman;serif" w:hAnsi="Times New Roman;serif"/>
          <w:b w:val="false"/>
          <w:color w:val="000000"/>
          <w:sz w:val="20"/>
          <w:shd w:fill="FFFFFF" w:val="clear"/>
        </w:rPr>
        <w:t xml:space="preserve">Long-Term Performance Equity Plan </w:t>
      </w:r>
      <w:r>
        <w:rPr>
          <w:rFonts w:ascii="Times New Roman;serif" w:hAnsi="Times New Roman;serif"/>
          <w:b w:val="false"/>
          <w:color w:val="000000"/>
          <w:sz w:val="20"/>
        </w:rPr>
        <w:t xml:space="preserve">are excluded from the computation of diluted net loss per share, as the effect would have been anti-dilutive. See Note 2 for additional information on the </w:t>
      </w:r>
      <w:r>
        <w:rPr>
          <w:rFonts w:ascii="Times New Roman;serif" w:hAnsi="Times New Roman;serif"/>
          <w:b w:val="false"/>
          <w:color w:val="000000"/>
          <w:sz w:val="20"/>
          <w:shd w:fill="FFFFFF" w:val="clear"/>
        </w:rPr>
        <w:t>Long-Term Performance Equity Plan</w:t>
      </w:r>
      <w:r>
        <w:rPr>
          <w:rFonts w:ascii="Times New Roman;serif" w:hAnsi="Times New Roman;serif"/>
          <w:b w:val="false"/>
          <w:color w:val="000000"/>
          <w:sz w:val="20"/>
        </w:rPr>
        <w:t>.</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The Long-Term Performance Equity Plan awards may be settled in cash and/or shares of Class B Common Stock. Once an election has been made to settle an award in cash, the dilutive effect of unvested performance shares relative to such award is prospectively removed from the denominator in the computation of diluted net income per share.</w:t>
      </w:r>
    </w:p>
    <w:p>
      <w:pPr>
        <w:pStyle w:val="TextBody"/>
        <w:bidi w:val="0"/>
        <w:spacing w:lineRule="auto" w:line="288" w:before="0" w:after="0"/>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The Company did not have anti-dilutive unvested performance shares for any periods presented.</w:t>
      </w:r>
    </w:p>
    <w:p>
      <w:pPr>
        <w:pStyle w:val="TextBody"/>
        <w:bidi w:val="0"/>
        <w:spacing w:lineRule="auto" w:line="288" w:before="0" w:after="0"/>
        <w:ind w:left="0" w:right="0" w:hanging="360"/>
        <w:jc w:val="left"/>
        <w:rPr/>
      </w:pPr>
      <w:r>
        <w:rPr>
          <w:rFonts w:ascii="Times New Roman;serif" w:hAnsi="Times New Roman;serif"/>
          <w:b w:val="false"/>
          <w:color w:val="000000"/>
          <w:sz w:val="13"/>
        </w:rPr>
        <w:t>(6)</w:t>
      </w:r>
      <w:r>
        <w:rPr>
          <w:rFonts w:ascii="Times New Roman;serif" w:hAnsi="Times New Roman;serif"/>
          <w:b w:val="false"/>
          <w:color w:val="000000"/>
          <w:sz w:val="20"/>
        </w:rPr>
        <w:t>On November 7, 2025, the Company entered into the Repurchase Agreement with the</w:t>
      </w:r>
      <w:r>
        <w:rPr>
          <w:color w:val="000000"/>
        </w:rPr>
        <w:t xml:space="preserve"> </w:t>
      </w:r>
      <w:r>
        <w:rPr>
          <w:rFonts w:ascii="Times New Roman;serif" w:hAnsi="Times New Roman;serif"/>
          <w:b w:val="false"/>
          <w:color w:val="000000"/>
          <w:sz w:val="20"/>
        </w:rPr>
        <w:t>Seller, The Coca-Cola Company and J. Frank Harrison, III, pursuant to which the Company agreed to purchase and the Seller agreed to sell all 18,835,460 of the Seller’s shares of Common Stock.</w:t>
      </w:r>
    </w:p>
    <w:p>
      <w:pPr>
        <w:pStyle w:val="TextBody"/>
        <w:bidi w:val="0"/>
        <w:spacing w:lineRule="auto" w:line="288" w:before="0" w:after="0"/>
        <w:ind w:left="0" w:right="0" w:hanging="360"/>
        <w:jc w:val="left"/>
        <w:rPr/>
      </w:pPr>
      <w:r>
        <w:rPr>
          <w:rFonts w:ascii="Times New Roman;serif" w:hAnsi="Times New Roman;serif"/>
          <w:b w:val="false"/>
          <w:color w:val="000000"/>
          <w:sz w:val="13"/>
        </w:rPr>
        <w:t>(7)</w:t>
      </w:r>
      <w:r>
        <w:rPr>
          <w:rFonts w:ascii="Times New Roman;serif" w:hAnsi="Times New Roman;serif"/>
          <w:b w:val="false"/>
          <w:color w:val="000000"/>
          <w:sz w:val="20"/>
        </w:rPr>
        <w:t>On March 4, 2025, the Company announced that its Board of Directors had approved the Stock Split of Common Stock and Class B Common Stock. The Stock Split was effected through the Amendment. The Amendment also effected a proportionate increase in the number of authorized shares of Common Stock and Class B Common Stock. The Amendment obtained stockholder approval at the Company’s 2025 Annual Meeting of Stockholders, which took place on May 13, 2025. Each stockholder of record as of the close of business on May 16, 2025 received nine additional shares for each share of Common Stock or Class B Common Stock held as of such date reflected in the stockholder’s account on May 23, 2025. Trading began on a split-adjusted basis on May 27, 2025. All share or per share amounts reflected above have been retroactively adjusted to reflect the effects of the Stock Split.</w:t>
      </w:r>
    </w:p>
    <w:p>
      <w:pPr>
        <w:pStyle w:val="TextBody"/>
        <w:bidi w:val="0"/>
        <w:spacing w:lineRule="auto" w:line="288" w:before="0" w:after="0"/>
        <w:ind w:left="0" w:right="0" w:hanging="360"/>
        <w:jc w:val="left"/>
        <w:rPr/>
      </w:pPr>
      <w:r>
        <w:rPr>
          <w:rFonts w:ascii="Times New Roman;serif" w:hAnsi="Times New Roman;serif"/>
          <w:b w:val="false"/>
          <w:color w:val="000000"/>
          <w:sz w:val="13"/>
        </w:rPr>
        <w:t>(8)</w:t>
      </w:r>
      <w:r>
        <w:rPr>
          <w:rFonts w:ascii="Times New Roman;serif" w:hAnsi="Times New Roman;serif"/>
          <w:b w:val="false"/>
          <w:color w:val="000000"/>
          <w:sz w:val="20"/>
        </w:rPr>
        <w:t>On August 20, 2024, the Company announced that its Board of Directors had approved a share repurchase program (the “Share Repurchase Program”) under which the Company was initially authorized to repurchase up to $1.00 billion of Common Stock. On November 7, 2025, the Company’s Board of Directors reduced the total authorization under the Share Repurchase Program from $1.00 billion to $400.0 million. The share repurchase authorization is discretionary and has no expiration date. There were no shares of Common Stock repurchased under the Share Repurchase Program during the first quarter of 2026. As of April 3, 2026, the total remaining authorization under the Share Repurchase Program was $136.3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6.    Inventories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 consisted of the following:</w:t>
      </w:r>
    </w:p>
    <w:p>
      <w:pPr>
        <w:pStyle w:val="TextBody"/>
        <w:bidi w:val="0"/>
        <w:spacing w:before="0" w:after="0"/>
        <w:jc w:val="left"/>
        <w:rPr/>
      </w:pPr>
      <w:r>
        <w:rPr/>
      </w:r>
    </w:p>
    <w:tbl>
      <w:tblPr>
        <w:tblW w:w="7793" w:type="dxa"/>
        <w:jc w:val="left"/>
        <w:tblInd w:w="0" w:type="dxa"/>
        <w:tblLayout w:type="fixed"/>
        <w:tblCellMar>
          <w:top w:w="28" w:type="dxa"/>
          <w:left w:w="28" w:type="dxa"/>
          <w:bottom w:w="28" w:type="dxa"/>
          <w:right w:w="28" w:type="dxa"/>
        </w:tblCellMar>
      </w:tblPr>
      <w:tblGrid>
        <w:gridCol w:w="1503"/>
        <w:gridCol w:w="1325"/>
        <w:gridCol w:w="1327"/>
        <w:gridCol w:w="109"/>
        <w:gridCol w:w="109"/>
        <w:gridCol w:w="109"/>
        <w:gridCol w:w="220"/>
        <w:gridCol w:w="880"/>
        <w:gridCol w:w="114"/>
        <w:gridCol w:w="109"/>
        <w:gridCol w:w="109"/>
        <w:gridCol w:w="109"/>
        <w:gridCol w:w="309"/>
        <w:gridCol w:w="1235"/>
        <w:gridCol w:w="226"/>
      </w:tblGrid>
      <w:tr>
        <w:trPr/>
        <w:tc>
          <w:tcPr>
            <w:tcW w:w="1503"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265,238 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218,380 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Plastic shells, plastic pallets and other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388,740</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336,401</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7.    Prepaid Expenses and Other Current Assets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w:t>
      </w:r>
    </w:p>
    <w:p>
      <w:pPr>
        <w:pStyle w:val="TextBody"/>
        <w:bidi w:val="0"/>
        <w:spacing w:before="0" w:after="0"/>
        <w:jc w:val="left"/>
        <w:rPr/>
      </w:pPr>
      <w:r>
        <w:rPr/>
      </w:r>
    </w:p>
    <w:tbl>
      <w:tblPr>
        <w:tblW w:w="7762" w:type="dxa"/>
        <w:jc w:val="left"/>
        <w:tblInd w:w="0" w:type="dxa"/>
        <w:tblLayout w:type="fixed"/>
        <w:tblCellMar>
          <w:top w:w="28" w:type="dxa"/>
          <w:left w:w="28" w:type="dxa"/>
          <w:bottom w:w="28" w:type="dxa"/>
          <w:right w:w="28" w:type="dxa"/>
        </w:tblCellMar>
      </w:tblPr>
      <w:tblGrid>
        <w:gridCol w:w="1493"/>
        <w:gridCol w:w="1313"/>
        <w:gridCol w:w="1318"/>
        <w:gridCol w:w="109"/>
        <w:gridCol w:w="109"/>
        <w:gridCol w:w="109"/>
        <w:gridCol w:w="220"/>
        <w:gridCol w:w="880"/>
        <w:gridCol w:w="114"/>
        <w:gridCol w:w="109"/>
        <w:gridCol w:w="109"/>
        <w:gridCol w:w="109"/>
        <w:gridCol w:w="309"/>
        <w:gridCol w:w="1235"/>
        <w:gridCol w:w="226"/>
      </w:tblGrid>
      <w:tr>
        <w:trPr/>
        <w:tc>
          <w:tcPr>
            <w:tcW w:w="149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Repair parts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hedges at fair market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121,831</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108,668</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8.    Property, Plant and Equipment, Net</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principal categories and estimated useful lives of property, plant and equipment, net were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96"/>
        <w:gridCol w:w="1310"/>
        <w:gridCol w:w="1315"/>
        <w:gridCol w:w="109"/>
        <w:gridCol w:w="109"/>
        <w:gridCol w:w="109"/>
        <w:gridCol w:w="211"/>
        <w:gridCol w:w="991"/>
        <w:gridCol w:w="109"/>
        <w:gridCol w:w="109"/>
        <w:gridCol w:w="109"/>
        <w:gridCol w:w="109"/>
        <w:gridCol w:w="276"/>
        <w:gridCol w:w="1300"/>
        <w:gridCol w:w="142"/>
        <w:gridCol w:w="109"/>
        <w:gridCol w:w="109"/>
        <w:gridCol w:w="109"/>
        <w:gridCol w:w="605"/>
        <w:gridCol w:w="605"/>
        <w:gridCol w:w="864"/>
      </w:tblGrid>
      <w:tr>
        <w:trPr/>
        <w:tc>
          <w:tcPr>
            <w:tcW w:w="149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4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Useful Lives</w:t>
            </w:r>
          </w:p>
        </w:tc>
      </w:tr>
      <w:tr>
        <w:trPr/>
        <w:tc>
          <w:tcPr>
            <w:tcW w:w="4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138,309 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534,167 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8-50 years</w:t>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663,064 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5-20 years</w:t>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743,325 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3-20 years</w:t>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3-10 years</w:t>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Cold drink dispensing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466,537 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3-17 years</w:t>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and land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5-20 years</w:t>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for internal 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3-10 years</w:t>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property, plant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3,004,045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2,950,928</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1,346,323 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1,626,463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1,604,605</w:t>
            </w:r>
            <w:r>
              <w:rPr>
                <w:color w:val="000000"/>
              </w:rPr>
              <w:t>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is a summary of the weighted average remaining lease term and the weighted average discount rate for the Company’s leases:</w:t>
      </w:r>
    </w:p>
    <w:p>
      <w:pPr>
        <w:pStyle w:val="TextBody"/>
        <w:bidi w:val="0"/>
        <w:spacing w:before="0" w:after="0"/>
        <w:jc w:val="left"/>
        <w:rPr/>
      </w:pPr>
      <w:r>
        <w:rPr/>
      </w:r>
    </w:p>
    <w:tbl>
      <w:tblPr>
        <w:tblW w:w="7208" w:type="dxa"/>
        <w:jc w:val="left"/>
        <w:tblInd w:w="0" w:type="dxa"/>
        <w:tblLayout w:type="fixed"/>
        <w:tblCellMar>
          <w:top w:w="28" w:type="dxa"/>
          <w:left w:w="28" w:type="dxa"/>
          <w:bottom w:w="28" w:type="dxa"/>
          <w:right w:w="28" w:type="dxa"/>
        </w:tblCellMar>
      </w:tblPr>
      <w:tblGrid>
        <w:gridCol w:w="1292"/>
        <w:gridCol w:w="1135"/>
        <w:gridCol w:w="1143"/>
        <w:gridCol w:w="109"/>
        <w:gridCol w:w="109"/>
        <w:gridCol w:w="109"/>
        <w:gridCol w:w="269"/>
        <w:gridCol w:w="269"/>
        <w:gridCol w:w="677"/>
        <w:gridCol w:w="109"/>
        <w:gridCol w:w="109"/>
        <w:gridCol w:w="109"/>
        <w:gridCol w:w="360"/>
        <w:gridCol w:w="360"/>
        <w:gridCol w:w="1049"/>
      </w:tblGrid>
      <w:tr>
        <w:trPr/>
        <w:tc>
          <w:tcPr>
            <w:tcW w:w="129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years</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years</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is a summary of the Company’s leases within the condensed consolidated statements of operations:</w:t>
      </w:r>
    </w:p>
    <w:p>
      <w:pPr>
        <w:pStyle w:val="TextBody"/>
        <w:bidi w:val="0"/>
        <w:spacing w:before="0" w:after="0"/>
        <w:jc w:val="left"/>
        <w:rPr/>
      </w:pPr>
      <w:r>
        <w:rPr/>
      </w:r>
    </w:p>
    <w:tbl>
      <w:tblPr>
        <w:tblW w:w="6966" w:type="dxa"/>
        <w:jc w:val="left"/>
        <w:tblInd w:w="0" w:type="dxa"/>
        <w:tblLayout w:type="fixed"/>
        <w:tblCellMar>
          <w:top w:w="28" w:type="dxa"/>
          <w:left w:w="28" w:type="dxa"/>
          <w:bottom w:w="28" w:type="dxa"/>
          <w:right w:w="28" w:type="dxa"/>
        </w:tblCellMar>
      </w:tblPr>
      <w:tblGrid>
        <w:gridCol w:w="1422"/>
        <w:gridCol w:w="1253"/>
        <w:gridCol w:w="1254"/>
        <w:gridCol w:w="109"/>
        <w:gridCol w:w="109"/>
        <w:gridCol w:w="109"/>
        <w:gridCol w:w="211"/>
        <w:gridCol w:w="631"/>
        <w:gridCol w:w="109"/>
        <w:gridCol w:w="109"/>
        <w:gridCol w:w="109"/>
        <w:gridCol w:w="109"/>
        <w:gridCol w:w="211"/>
        <w:gridCol w:w="631"/>
        <w:gridCol w:w="109"/>
        <w:gridCol w:w="109"/>
        <w:gridCol w:w="109"/>
        <w:gridCol w:w="109"/>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and variable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from financing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financing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9,424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future minimum lease payments related to the Company’s leases include renewal options the Company has determined to be reasonably certain and exclude payments to landlords for real estate taxes and common area maintenance. Following is a summary of future minimum lease payments for all noncancelable operating leases and financing leases as of April 3, 2026:</w:t>
      </w:r>
    </w:p>
    <w:p>
      <w:pPr>
        <w:pStyle w:val="TextBody"/>
        <w:bidi w:val="0"/>
        <w:spacing w:before="0" w:after="0"/>
        <w:jc w:val="left"/>
        <w:rPr/>
      </w:pPr>
      <w:r>
        <w:rPr/>
      </w:r>
    </w:p>
    <w:tbl>
      <w:tblPr>
        <w:tblW w:w="8348" w:type="dxa"/>
        <w:jc w:val="left"/>
        <w:tblInd w:w="0" w:type="dxa"/>
        <w:tblLayout w:type="fixed"/>
        <w:tblCellMar>
          <w:top w:w="28" w:type="dxa"/>
          <w:left w:w="28" w:type="dxa"/>
          <w:bottom w:w="28" w:type="dxa"/>
          <w:right w:w="28" w:type="dxa"/>
        </w:tblCellMar>
      </w:tblPr>
      <w:tblGrid>
        <w:gridCol w:w="1624"/>
        <w:gridCol w:w="1429"/>
        <w:gridCol w:w="1431"/>
        <w:gridCol w:w="109"/>
        <w:gridCol w:w="109"/>
        <w:gridCol w:w="109"/>
        <w:gridCol w:w="289"/>
        <w:gridCol w:w="1152"/>
        <w:gridCol w:w="149"/>
        <w:gridCol w:w="109"/>
        <w:gridCol w:w="109"/>
        <w:gridCol w:w="109"/>
        <w:gridCol w:w="343"/>
        <w:gridCol w:w="1026"/>
        <w:gridCol w:w="251"/>
      </w:tblGrid>
      <w:tr>
        <w:trPr/>
        <w:tc>
          <w:tcPr>
            <w:tcW w:w="1624"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Financing Leases</w:t>
            </w:r>
          </w:p>
        </w:tc>
      </w:tr>
      <w:tr>
        <w:trPr/>
        <w:tc>
          <w:tcPr>
            <w:tcW w:w="4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21,865 </w:t>
            </w:r>
          </w:p>
        </w:tc>
        <w:tc>
          <w:tcPr>
            <w:tcW w:w="14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2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20,407 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11,454 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minimum lease payments including interest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131,130</w:t>
            </w:r>
            <w:r>
              <w:rPr>
                <w:color w:val="000000"/>
              </w:rPr>
              <w:t> </w:t>
            </w:r>
          </w:p>
        </w:tc>
        <w:tc>
          <w:tcPr>
            <w:tcW w:w="14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1,774</w:t>
            </w:r>
            <w:r>
              <w:rPr>
                <w:color w:val="000000"/>
              </w:rPr>
              <w:t> </w:t>
            </w:r>
          </w:p>
        </w:tc>
        <w:tc>
          <w:tcPr>
            <w:tcW w:w="2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representing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Present value of minimum lease principal payments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114,109</w:t>
            </w:r>
            <w:r>
              <w:rPr>
                <w:color w:val="000000"/>
              </w:rPr>
              <w:t> </w:t>
            </w:r>
          </w:p>
        </w:tc>
        <w:tc>
          <w:tcPr>
            <w:tcW w:w="14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1,607</w:t>
            </w:r>
            <w:r>
              <w:rPr>
                <w:color w:val="000000"/>
              </w:rPr>
              <w:t> </w:t>
            </w:r>
          </w:p>
        </w:tc>
        <w:tc>
          <w:tcPr>
            <w:tcW w:w="2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portion of lease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90,046</w:t>
            </w:r>
            <w:r>
              <w:rPr>
                <w:color w:val="000000"/>
              </w:rPr>
              <w:t> </w:t>
            </w:r>
          </w:p>
        </w:tc>
        <w:tc>
          <w:tcPr>
            <w:tcW w:w="14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w:t>
            </w:r>
            <w:r>
              <w:rPr>
                <w:color w:val="000000"/>
              </w:rPr>
              <w:t> </w:t>
            </w:r>
          </w:p>
        </w:tc>
        <w:tc>
          <w:tcPr>
            <w:tcW w:w="2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is a summary of future minimum lease payments for all noncancelable operating leases and financing leases as of December 31, 2025:</w:t>
      </w:r>
    </w:p>
    <w:p>
      <w:pPr>
        <w:pStyle w:val="TextBody"/>
        <w:bidi w:val="0"/>
        <w:spacing w:before="0" w:after="0"/>
        <w:jc w:val="left"/>
        <w:rPr/>
      </w:pPr>
      <w:r>
        <w:rPr/>
      </w:r>
    </w:p>
    <w:tbl>
      <w:tblPr>
        <w:tblW w:w="8348" w:type="dxa"/>
        <w:jc w:val="left"/>
        <w:tblInd w:w="0" w:type="dxa"/>
        <w:tblLayout w:type="fixed"/>
        <w:tblCellMar>
          <w:top w:w="28" w:type="dxa"/>
          <w:left w:w="28" w:type="dxa"/>
          <w:bottom w:w="28" w:type="dxa"/>
          <w:right w:w="28" w:type="dxa"/>
        </w:tblCellMar>
      </w:tblPr>
      <w:tblGrid>
        <w:gridCol w:w="1623"/>
        <w:gridCol w:w="1429"/>
        <w:gridCol w:w="1432"/>
        <w:gridCol w:w="109"/>
        <w:gridCol w:w="109"/>
        <w:gridCol w:w="109"/>
        <w:gridCol w:w="289"/>
        <w:gridCol w:w="1152"/>
        <w:gridCol w:w="149"/>
        <w:gridCol w:w="109"/>
        <w:gridCol w:w="109"/>
        <w:gridCol w:w="109"/>
        <w:gridCol w:w="343"/>
        <w:gridCol w:w="1026"/>
        <w:gridCol w:w="251"/>
      </w:tblGrid>
      <w:tr>
        <w:trPr/>
        <w:tc>
          <w:tcPr>
            <w:tcW w:w="16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Financing Leases</w:t>
            </w:r>
          </w:p>
        </w:tc>
      </w:tr>
      <w:tr>
        <w:trPr/>
        <w:tc>
          <w:tcPr>
            <w:tcW w:w="4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minimum lease payments including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137,734</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1,930</w:t>
            </w: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representing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Present value of minimum lease 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119,488</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1,744</w:t>
            </w: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portion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95,076</w:t>
            </w: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1,188</w:t>
            </w: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is a summary of the Company’s leases within the condensed consolidated statements of cash flows:</w:t>
      </w:r>
    </w:p>
    <w:p>
      <w:pPr>
        <w:pStyle w:val="TextBody"/>
        <w:bidi w:val="0"/>
        <w:spacing w:before="0" w:after="0"/>
        <w:jc w:val="left"/>
        <w:rPr/>
      </w:pPr>
      <w:r>
        <w:rPr/>
      </w:r>
    </w:p>
    <w:tbl>
      <w:tblPr>
        <w:tblW w:w="6860" w:type="dxa"/>
        <w:jc w:val="left"/>
        <w:tblInd w:w="0" w:type="dxa"/>
        <w:tblLayout w:type="fixed"/>
        <w:tblCellMar>
          <w:top w:w="28" w:type="dxa"/>
          <w:left w:w="28" w:type="dxa"/>
          <w:bottom w:w="28" w:type="dxa"/>
          <w:right w:w="28" w:type="dxa"/>
        </w:tblCellMar>
      </w:tblPr>
      <w:tblGrid>
        <w:gridCol w:w="1542"/>
        <w:gridCol w:w="1357"/>
        <w:gridCol w:w="1360"/>
        <w:gridCol w:w="109"/>
        <w:gridCol w:w="109"/>
        <w:gridCol w:w="109"/>
        <w:gridCol w:w="211"/>
        <w:gridCol w:w="631"/>
        <w:gridCol w:w="109"/>
        <w:gridCol w:w="109"/>
        <w:gridCol w:w="109"/>
        <w:gridCol w:w="109"/>
        <w:gridCol w:w="211"/>
        <w:gridCol w:w="631"/>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 impact: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payments on financing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flows from operating activities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6,301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flows from financing activities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10.    Distribution Agreements, Net</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Distribution agreements, net, which are amortized on a straight-line basis and have estimated useful lives of 20 to 40 years, consisted of the following:</w:t>
      </w:r>
    </w:p>
    <w:p>
      <w:pPr>
        <w:pStyle w:val="TextBody"/>
        <w:bidi w:val="0"/>
        <w:spacing w:before="0" w:after="0"/>
        <w:jc w:val="left"/>
        <w:rPr/>
      </w:pPr>
      <w:r>
        <w:rPr/>
      </w:r>
    </w:p>
    <w:tbl>
      <w:tblPr>
        <w:tblW w:w="6382" w:type="dxa"/>
        <w:jc w:val="left"/>
        <w:tblInd w:w="0" w:type="dxa"/>
        <w:tblLayout w:type="fixed"/>
        <w:tblCellMar>
          <w:top w:w="28" w:type="dxa"/>
          <w:left w:w="28" w:type="dxa"/>
          <w:bottom w:w="28" w:type="dxa"/>
          <w:right w:w="28" w:type="dxa"/>
        </w:tblCellMar>
      </w:tblPr>
      <w:tblGrid>
        <w:gridCol w:w="994"/>
        <w:gridCol w:w="874"/>
        <w:gridCol w:w="876"/>
        <w:gridCol w:w="109"/>
        <w:gridCol w:w="109"/>
        <w:gridCol w:w="109"/>
        <w:gridCol w:w="220"/>
        <w:gridCol w:w="880"/>
        <w:gridCol w:w="114"/>
        <w:gridCol w:w="109"/>
        <w:gridCol w:w="109"/>
        <w:gridCol w:w="109"/>
        <w:gridCol w:w="309"/>
        <w:gridCol w:w="1235"/>
        <w:gridCol w:w="226"/>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agreements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990,191 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990,191 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222,831 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Distribution agreements,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761,137</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767,360</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11.    Customer Lists, Net</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lists, net, which are amortized on a straight-line basis and have estimated useful lives of five to 12 years, consisted of the following:</w:t>
      </w:r>
    </w:p>
    <w:p>
      <w:pPr>
        <w:pStyle w:val="TextBody"/>
        <w:bidi w:val="0"/>
        <w:spacing w:before="0" w:after="0"/>
        <w:jc w:val="left"/>
        <w:rPr/>
      </w:pPr>
      <w:r>
        <w:rPr/>
      </w:r>
    </w:p>
    <w:tbl>
      <w:tblPr>
        <w:tblW w:w="6384" w:type="dxa"/>
        <w:jc w:val="left"/>
        <w:tblInd w:w="0" w:type="dxa"/>
        <w:tblLayout w:type="fixed"/>
        <w:tblCellMar>
          <w:top w:w="28" w:type="dxa"/>
          <w:left w:w="28" w:type="dxa"/>
          <w:bottom w:w="28" w:type="dxa"/>
          <w:right w:w="28" w:type="dxa"/>
        </w:tblCellMar>
      </w:tblPr>
      <w:tblGrid>
        <w:gridCol w:w="994"/>
        <w:gridCol w:w="875"/>
        <w:gridCol w:w="876"/>
        <w:gridCol w:w="109"/>
        <w:gridCol w:w="109"/>
        <w:gridCol w:w="109"/>
        <w:gridCol w:w="246"/>
        <w:gridCol w:w="842"/>
        <w:gridCol w:w="127"/>
        <w:gridCol w:w="109"/>
        <w:gridCol w:w="109"/>
        <w:gridCol w:w="109"/>
        <w:gridCol w:w="344"/>
        <w:gridCol w:w="1175"/>
        <w:gridCol w:w="251"/>
      </w:tblGrid>
      <w:tr>
        <w:trPr/>
        <w:tc>
          <w:tcPr>
            <w:tcW w:w="99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lists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 lists,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3,852</w:t>
            </w: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4,257</w:t>
            </w: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Supply Chain Finance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an agreement with a third-party financial institution to facilitate a supply chain finance program (the “SCF program”), which allows qualifying suppliers to sell their receivables from the Company to the financial institution. The participating suppliers negotiate their outstanding receivable arrangements and associated fees directly with the financial institution, and the Company is not party to those agreements. Once a qualifying supplier elects to participate in the SCF program and reaches an agreement with the financial institution, the supplier elects which individual Company invoices it sells to the financial institution. A supplier participating in the SCF program may sell its invoices to the financial institution for payment in full by the financial institution to the supplier by the original maturity date of the invoice, or discounted payment at an earlier date as agreed upon with the supplier. The Company’s current payment terms with most of its suppliers are 90 days. The Company’s obligations to its suppliers, including amounts due and scheduled payment terms, are not impacted by a supplier’s participation in the SCF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All outstanding amounts related to suppliers participating in the SCF program are recorded in accounts payable, trade in the condensed consolidated balance sheets, and associated payments are included in operating activities in the condensed consolidated statements of cash flows. The Company’s outstanding confirmed obligations included in accounts payable, trade in the condensed consolidated balance sheets were $88.1 million as of April 3, 2026 and $66.6 million as of December 31,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13.    Other Accrued Liabilities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accrued liabilities consisted of the following:</w:t>
      </w:r>
    </w:p>
    <w:p>
      <w:pPr>
        <w:pStyle w:val="TextBody"/>
        <w:bidi w:val="0"/>
        <w:spacing w:before="0" w:after="0"/>
        <w:jc w:val="left"/>
        <w:rPr/>
      </w:pPr>
      <w:r>
        <w:rPr/>
      </w:r>
    </w:p>
    <w:tbl>
      <w:tblPr>
        <w:tblW w:w="8873" w:type="dxa"/>
        <w:jc w:val="left"/>
        <w:tblInd w:w="0" w:type="dxa"/>
        <w:tblLayout w:type="fixed"/>
        <w:tblCellMar>
          <w:top w:w="28" w:type="dxa"/>
          <w:left w:w="28" w:type="dxa"/>
          <w:bottom w:w="28" w:type="dxa"/>
          <w:right w:w="28" w:type="dxa"/>
        </w:tblCellMar>
      </w:tblPr>
      <w:tblGrid>
        <w:gridCol w:w="1895"/>
        <w:gridCol w:w="1668"/>
        <w:gridCol w:w="1672"/>
        <w:gridCol w:w="109"/>
        <w:gridCol w:w="109"/>
        <w:gridCol w:w="109"/>
        <w:gridCol w:w="220"/>
        <w:gridCol w:w="880"/>
        <w:gridCol w:w="114"/>
        <w:gridCol w:w="109"/>
        <w:gridCol w:w="109"/>
        <w:gridCol w:w="109"/>
        <w:gridCol w:w="309"/>
        <w:gridCol w:w="1235"/>
        <w:gridCol w:w="226"/>
      </w:tblGrid>
      <w:tr>
        <w:trPr/>
        <w:tc>
          <w:tcPr>
            <w:tcW w:w="1895"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acquisition related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marketing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62,467 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and retiree benefit plan accruals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excise taxes related to 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 (other than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319,495</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307,237</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14.    Commodity Derivative Instruments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the risk of increased costs arising from adverse changes in certain commodity prices. In the normal course of business, the Company manages this risk, where practicable, through a variety of strategies, including the use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 The Company does not use commodity derivative instruments for trading or speculative purposes. These commodity derivative instruments are not designated as hedging instruments under GAAP and are used as “economic hedges” to manage certain commodity price risk. The Company uses several different financial institutions for commodity derivative instruments to minimize the concentration of credit risk. While the Company would be exposed to credit loss in the event of nonperformance by these counterparties, the Company does not anticipate nonperformance by these counterparties.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 held by the Company are marked to market on a quarterly basis and are recognized in earnings consistent with the expense classification of the underlying hedged item. The Company generally pays a fee for these commodity derivative instruments, which is amortized over the corresponding period of each commodity derivative instrument. Settlements of commodity derivative instruments are included in cash flows from operating activities in the condensed consolidated statements of cash flows. The following table summarizes pre-tax changes in the fair values of the Company’s commodity derivative instruments and the classification of such changes in the condensed consolidated statements of operations:</w:t>
      </w:r>
    </w:p>
    <w:p>
      <w:pPr>
        <w:pStyle w:val="TextBody"/>
        <w:bidi w:val="0"/>
        <w:spacing w:before="0" w:after="0"/>
        <w:jc w:val="left"/>
        <w:rPr/>
      </w:pPr>
      <w:r>
        <w:rPr/>
      </w:r>
    </w:p>
    <w:tbl>
      <w:tblPr>
        <w:tblW w:w="6862" w:type="dxa"/>
        <w:jc w:val="left"/>
        <w:tblInd w:w="0" w:type="dxa"/>
        <w:tblLayout w:type="fixed"/>
        <w:tblCellMar>
          <w:top w:w="28" w:type="dxa"/>
          <w:left w:w="28" w:type="dxa"/>
          <w:bottom w:w="28" w:type="dxa"/>
          <w:right w:w="28" w:type="dxa"/>
        </w:tblCellMar>
      </w:tblPr>
      <w:tblGrid>
        <w:gridCol w:w="1378"/>
        <w:gridCol w:w="1213"/>
        <w:gridCol w:w="1219"/>
        <w:gridCol w:w="109"/>
        <w:gridCol w:w="109"/>
        <w:gridCol w:w="109"/>
        <w:gridCol w:w="211"/>
        <w:gridCol w:w="736"/>
        <w:gridCol w:w="109"/>
        <w:gridCol w:w="109"/>
        <w:gridCol w:w="109"/>
        <w:gridCol w:w="109"/>
        <w:gridCol w:w="211"/>
        <w:gridCol w:w="541"/>
        <w:gridCol w:w="109"/>
        <w:gridCol w:w="109"/>
        <w:gridCol w:w="109"/>
        <w:gridCol w:w="109"/>
        <w:gridCol w:w="154"/>
      </w:tblGrid>
      <w:tr>
        <w:trPr/>
        <w:tc>
          <w:tcPr>
            <w:tcW w:w="137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delivery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12,875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commodity derivative instruments are recorded at fair value as either assets or liabilities in the condensed consolidated balance sheets. The Company has master agreements with the counterparties to its commodity derivative instruments that provide for net settlement of derivative transactions. Accordingly, the net amounts of derivative assets are recognized in either prepaid expenses and other current assets or other assets in the condensed consolidated balance sheets and the net amounts of derivative liabilities are recognized in either other accrued liabilities or other liabilities in the condensed consolidated balance sheets. The following table summarizes the fair values of the Company’s commodity derivative instruments and the classification of such instruments in the condensed consolidated balance sheets:</w:t>
      </w:r>
    </w:p>
    <w:p>
      <w:pPr>
        <w:pStyle w:val="TextBody"/>
        <w:bidi w:val="0"/>
        <w:spacing w:before="0" w:after="0"/>
        <w:jc w:val="left"/>
        <w:rPr/>
      </w:pPr>
      <w:r>
        <w:rPr/>
      </w:r>
    </w:p>
    <w:tbl>
      <w:tblPr>
        <w:tblW w:w="7087" w:type="dxa"/>
        <w:jc w:val="left"/>
        <w:tblInd w:w="0" w:type="dxa"/>
        <w:tblLayout w:type="fixed"/>
        <w:tblCellMar>
          <w:top w:w="28" w:type="dxa"/>
          <w:left w:w="28" w:type="dxa"/>
          <w:bottom w:w="28" w:type="dxa"/>
          <w:right w:w="28" w:type="dxa"/>
        </w:tblCellMar>
      </w:tblPr>
      <w:tblGrid>
        <w:gridCol w:w="1249"/>
        <w:gridCol w:w="1099"/>
        <w:gridCol w:w="1102"/>
        <w:gridCol w:w="109"/>
        <w:gridCol w:w="109"/>
        <w:gridCol w:w="109"/>
        <w:gridCol w:w="242"/>
        <w:gridCol w:w="847"/>
        <w:gridCol w:w="125"/>
        <w:gridCol w:w="109"/>
        <w:gridCol w:w="109"/>
        <w:gridCol w:w="109"/>
        <w:gridCol w:w="374"/>
        <w:gridCol w:w="1121"/>
        <w:gridCol w:w="274"/>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17,195</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4,242</w:t>
            </w:r>
            <w:r>
              <w:rPr>
                <w:color w:val="000000"/>
              </w:rPr>
              <w:t>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w:t>
            </w: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gross commodity derivative instrument assets and gross commodity derivative instrument liabilities in the condensed consolidated balance sheets:</w:t>
      </w:r>
    </w:p>
    <w:p>
      <w:pPr>
        <w:pStyle w:val="TextBody"/>
        <w:bidi w:val="0"/>
        <w:spacing w:before="0" w:after="0"/>
        <w:jc w:val="left"/>
        <w:rPr/>
      </w:pPr>
      <w:r>
        <w:rPr/>
      </w:r>
    </w:p>
    <w:tbl>
      <w:tblPr>
        <w:tblW w:w="7792" w:type="dxa"/>
        <w:jc w:val="left"/>
        <w:tblInd w:w="0" w:type="dxa"/>
        <w:tblLayout w:type="fixed"/>
        <w:tblCellMar>
          <w:top w:w="28" w:type="dxa"/>
          <w:left w:w="28" w:type="dxa"/>
          <w:bottom w:w="28" w:type="dxa"/>
          <w:right w:w="28" w:type="dxa"/>
        </w:tblCellMar>
      </w:tblPr>
      <w:tblGrid>
        <w:gridCol w:w="1504"/>
        <w:gridCol w:w="1323"/>
        <w:gridCol w:w="1327"/>
        <w:gridCol w:w="109"/>
        <w:gridCol w:w="109"/>
        <w:gridCol w:w="109"/>
        <w:gridCol w:w="246"/>
        <w:gridCol w:w="842"/>
        <w:gridCol w:w="127"/>
        <w:gridCol w:w="109"/>
        <w:gridCol w:w="109"/>
        <w:gridCol w:w="109"/>
        <w:gridCol w:w="380"/>
        <w:gridCol w:w="1110"/>
        <w:gridCol w:w="279"/>
      </w:tblGrid>
      <w:tr>
        <w:trPr/>
        <w:tc>
          <w:tcPr>
            <w:tcW w:w="15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commodity derivative instrument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commodity derivative instrument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outstanding commodity derivative instruments:</w:t>
      </w:r>
    </w:p>
    <w:p>
      <w:pPr>
        <w:pStyle w:val="TextBody"/>
        <w:bidi w:val="0"/>
        <w:spacing w:before="0" w:after="0"/>
        <w:jc w:val="left"/>
        <w:rPr/>
      </w:pPr>
      <w:r>
        <w:rPr/>
      </w:r>
    </w:p>
    <w:tbl>
      <w:tblPr>
        <w:tblW w:w="9444" w:type="dxa"/>
        <w:jc w:val="left"/>
        <w:tblInd w:w="0" w:type="dxa"/>
        <w:tblLayout w:type="fixed"/>
        <w:tblCellMar>
          <w:top w:w="28" w:type="dxa"/>
          <w:left w:w="28" w:type="dxa"/>
          <w:bottom w:w="28" w:type="dxa"/>
          <w:right w:w="28" w:type="dxa"/>
        </w:tblCellMar>
      </w:tblPr>
      <w:tblGrid>
        <w:gridCol w:w="2101"/>
        <w:gridCol w:w="1850"/>
        <w:gridCol w:w="1854"/>
        <w:gridCol w:w="109"/>
        <w:gridCol w:w="109"/>
        <w:gridCol w:w="109"/>
        <w:gridCol w:w="274"/>
        <w:gridCol w:w="800"/>
        <w:gridCol w:w="141"/>
        <w:gridCol w:w="109"/>
        <w:gridCol w:w="109"/>
        <w:gridCol w:w="109"/>
        <w:gridCol w:w="344"/>
        <w:gridCol w:w="1175"/>
        <w:gridCol w:w="251"/>
      </w:tblGrid>
      <w:tr>
        <w:trPr/>
        <w:tc>
          <w:tcPr>
            <w:tcW w:w="2101"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Notional amount of outstanding 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Latest maturity date of outstanding commodity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15.    Fair Values of Financial Instruments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GAAP requires assets and liabilities carried at fair value to be classified and disclosed in one of the following categories: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1: Quoted market prices in active markets for identical assets or liabilities.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2: Observable market-based inputs or unobservable inputs that are corroborated by market data.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3: Unobservable inputs that are not corroborated by market data.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below methods and assumptions were used by the Company in estimating the fair values of its financial instruments. There were no transfers of assets or liabilities between levels in any period presented.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81"/>
        <w:gridCol w:w="432"/>
        <w:gridCol w:w="435"/>
        <w:gridCol w:w="109"/>
        <w:gridCol w:w="109"/>
        <w:gridCol w:w="109"/>
        <w:gridCol w:w="214"/>
        <w:gridCol w:w="214"/>
        <w:gridCol w:w="215"/>
        <w:gridCol w:w="109"/>
        <w:gridCol w:w="109"/>
        <w:gridCol w:w="109"/>
        <w:gridCol w:w="2315"/>
        <w:gridCol w:w="2086"/>
        <w:gridCol w:w="2959"/>
      </w:tblGrid>
      <w:tr>
        <w:trPr/>
        <w:tc>
          <w:tcPr>
            <w:tcW w:w="68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r>
      <w:tr>
        <w:trPr/>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b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Methods and Assumptions</w:t>
            </w:r>
          </w:p>
        </w:tc>
      </w:tr>
      <w:tr>
        <w:trPr/>
        <w:tc>
          <w:tcPr>
            <w:tcW w:w="15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nonqualified deferred compensation plan for certain executives and other highly compensated employees is based on the fair values of associated assets and liabilities, which are held in mutual funds and are based on the quoted market prices of the securities held within the mutual funds.</w:t>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fair values of the Company’s interest rate swaps are determined using standard calculations and valuation models. The significant inputs used in these standard calculations/valuation models are readily available in public markets or can be derived from observable market transactions and, therefore, have been classified as Level 2. Inputs used in these standard calculations/valuation models for derivative instruments include swap rates, interest rates and discount rates. The discount rates are based on the historical U.S. deposit rates, U.S. Treasury rates and/or U.S. swap rates. The Company’s credit risk related to the interest rate swaps is managed by requiring high standards for its counterparties and periodic settlements.</w:t>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fair values of the Company’s commodity derivative instruments are based on current settlement values at each balance sheet date, which represent the estimated amounts the Company would have received or paid upon termination of those instruments. The Company’s credit risk related to the commodity derivative instruments is managed by requiring high standards for its counterparties and periodic settlements. The Company considers nonperformance risk in determining the fair values of commodity derivative instruments.</w:t>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carrying amounts of the Company’s variable rate debt approximate the fair values due to variable interest rates with short reset periods. The fair values of the Company’s fixed rate debt are based on estimated current market prices.</w:t>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acquisition related contingent consideration is based on internal forecasts and the weighted average cost of capital (“WACC”) derived from market data.</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carrying amounts and the fair values by level of the Company’s deferred compensation plan assets and liabilities, commodity derivative instruments, interest rate swaps, debt and acquisition related contingent consideration: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59"/>
        <w:gridCol w:w="1019"/>
        <w:gridCol w:w="1015"/>
        <w:gridCol w:w="109"/>
        <w:gridCol w:w="109"/>
        <w:gridCol w:w="109"/>
        <w:gridCol w:w="220"/>
        <w:gridCol w:w="756"/>
        <w:gridCol w:w="109"/>
        <w:gridCol w:w="109"/>
        <w:gridCol w:w="109"/>
        <w:gridCol w:w="109"/>
        <w:gridCol w:w="220"/>
        <w:gridCol w:w="756"/>
        <w:gridCol w:w="109"/>
        <w:gridCol w:w="109"/>
        <w:gridCol w:w="109"/>
        <w:gridCol w:w="109"/>
        <w:gridCol w:w="211"/>
        <w:gridCol w:w="721"/>
        <w:gridCol w:w="109"/>
        <w:gridCol w:w="109"/>
        <w:gridCol w:w="109"/>
        <w:gridCol w:w="109"/>
        <w:gridCol w:w="400"/>
        <w:gridCol w:w="576"/>
        <w:gridCol w:w="142"/>
        <w:gridCol w:w="109"/>
        <w:gridCol w:w="109"/>
        <w:gridCol w:w="109"/>
        <w:gridCol w:w="291"/>
        <w:gridCol w:w="555"/>
        <w:gridCol w:w="202"/>
      </w:tblGrid>
      <w:tr>
        <w:trPr/>
        <w:tc>
          <w:tcPr>
            <w:tcW w:w="115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 2026</w:t>
            </w:r>
          </w:p>
        </w:tc>
      </w:tr>
      <w:tr>
        <w:trPr/>
        <w:tc>
          <w:tcPr>
            <w:tcW w:w="3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br/>
              <w:t>Level 3</w:t>
            </w:r>
          </w:p>
        </w:tc>
      </w:tr>
      <w:tr>
        <w:trPr/>
        <w:tc>
          <w:tcPr>
            <w:tcW w:w="3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2,691,300 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753,029 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59"/>
        <w:gridCol w:w="1019"/>
        <w:gridCol w:w="1015"/>
        <w:gridCol w:w="109"/>
        <w:gridCol w:w="109"/>
        <w:gridCol w:w="109"/>
        <w:gridCol w:w="220"/>
        <w:gridCol w:w="756"/>
        <w:gridCol w:w="109"/>
        <w:gridCol w:w="109"/>
        <w:gridCol w:w="109"/>
        <w:gridCol w:w="109"/>
        <w:gridCol w:w="220"/>
        <w:gridCol w:w="756"/>
        <w:gridCol w:w="109"/>
        <w:gridCol w:w="109"/>
        <w:gridCol w:w="109"/>
        <w:gridCol w:w="109"/>
        <w:gridCol w:w="211"/>
        <w:gridCol w:w="721"/>
        <w:gridCol w:w="109"/>
        <w:gridCol w:w="109"/>
        <w:gridCol w:w="109"/>
        <w:gridCol w:w="109"/>
        <w:gridCol w:w="333"/>
        <w:gridCol w:w="643"/>
        <w:gridCol w:w="142"/>
        <w:gridCol w:w="109"/>
        <w:gridCol w:w="109"/>
        <w:gridCol w:w="109"/>
        <w:gridCol w:w="291"/>
        <w:gridCol w:w="555"/>
        <w:gridCol w:w="202"/>
      </w:tblGrid>
      <w:tr>
        <w:trPr/>
        <w:tc>
          <w:tcPr>
            <w:tcW w:w="115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br/>
              <w:t>Level 3</w:t>
            </w:r>
          </w:p>
        </w:tc>
      </w:tr>
      <w:tr>
        <w:trPr/>
        <w:tc>
          <w:tcPr>
            <w:tcW w:w="3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2,848,500 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717,908 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acquisition related contingent consideration was valued using a probability weighted discounted cash flow model based on internal forecasts and the WACC derived from market data, which are considered Level 3 inputs. Each reporting period, the Company adjusts its acquisition related contingent consideration liability related to the distribution territories subject to acquisition related sub-bottling payments to fair value by discounting future expected acquisition related sub-bottling payments required under the CBA using the Company’s estimated WACC.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future expected acquisition related sub-bottling payments extend through the life of the related distribution assets acquired in each distribution territory, which is generally 40 years. As a result, the fair value of the acquisition related contingent consideration liability is impacted by the Company’s WACC, management’s estimate of the acquisition related sub-bottling payments that will be made in the future under the CBA, and current acquisition related sub-bottling payments (all Level 3 inputs). Changes in any of these Level 3 inputs, particularly the underlying risk-free interest rate used to estimate the Company’s WACC, could result in material changes to the fair value of the acquisition related contingent consideration liability and could materially impact the amount of non-cash expense (or income) recorded each reporting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acquisition related contingent consideration liability is the Company’s only Level 3 asset or liability. A summary of the Level 3 activity is as follows:</w:t>
      </w:r>
    </w:p>
    <w:p>
      <w:pPr>
        <w:pStyle w:val="TextBody"/>
        <w:bidi w:val="0"/>
        <w:spacing w:before="0" w:after="0"/>
        <w:jc w:val="left"/>
        <w:rPr/>
      </w:pPr>
      <w:r>
        <w:rPr/>
      </w:r>
    </w:p>
    <w:tbl>
      <w:tblPr>
        <w:tblW w:w="8212" w:type="dxa"/>
        <w:jc w:val="left"/>
        <w:tblInd w:w="0" w:type="dxa"/>
        <w:tblLayout w:type="fixed"/>
        <w:tblCellMar>
          <w:top w:w="28" w:type="dxa"/>
          <w:left w:w="28" w:type="dxa"/>
          <w:bottom w:w="28" w:type="dxa"/>
          <w:right w:w="28" w:type="dxa"/>
        </w:tblCellMar>
      </w:tblPr>
      <w:tblGrid>
        <w:gridCol w:w="1722"/>
        <w:gridCol w:w="1515"/>
        <w:gridCol w:w="1518"/>
        <w:gridCol w:w="109"/>
        <w:gridCol w:w="109"/>
        <w:gridCol w:w="109"/>
        <w:gridCol w:w="211"/>
        <w:gridCol w:w="841"/>
        <w:gridCol w:w="109"/>
        <w:gridCol w:w="109"/>
        <w:gridCol w:w="109"/>
        <w:gridCol w:w="109"/>
        <w:gridCol w:w="211"/>
        <w:gridCol w:w="841"/>
        <w:gridCol w:w="109"/>
        <w:gridCol w:w="109"/>
        <w:gridCol w:w="109"/>
        <w:gridCol w:w="109"/>
        <w:gridCol w:w="154"/>
      </w:tblGrid>
      <w:tr>
        <w:trPr/>
        <w:tc>
          <w:tcPr>
            <w:tcW w:w="1722"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 - Level 3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717,908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654,191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current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balance - Level 3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753,029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681,800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April 3, 2026 and March 28, 2025, a WACC of 8.1% and 9.0%, respectively, was utilized in the valuation of the Company’s acquisition related contingent consideration liability. The increase in the fair value of the acquisition related contingent consideration liability during the first quarter of 2026 was driven by a decrease in the WACC used to calculate the fair value of the liability from 8.5% as of December 31, 2025 and higher projections of future cash flows in the distribution territories subject to acquisition related sub-bottling payments. This fair value adjustment was recorded in mark-to-market on acquisition related contingent consideration in the condensed consolidated statement of operations for the first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2026, the Company estimates the annual sub-bottling payments will be in the range of approximately $75 million to $80 million. For the next five future years (beginning with fiscal year 2027), the Company anticipates that the amount it could pay annually will be in the range of approximately $50 million to $65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16.    Income Taxes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 was 26.2% for the first quarter of 2026 and 25.7% for the first quarter of 2025. The Company’s income tax expense was $39.7 million for the first quarter of 2026 and $35.9 million for the first quarter of 2025. The increase in income tax expense was primarily attributable to higher income before taxes during the first quarter of 2026 compared to the first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had uncertain tax positions, including accrued interest, of $0.5 million on both April 3, 2026 and December 31, 2025, all of which would affect the Company’s effective income tax rate if recognized.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Prior tax years beginning in year 2022 remain open to examination by the Internal Revenue Service, and various tax years beginning in year 2002 remain open to examination by certain state tax jurisdictions due to loss carryforwards.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17.    Pension and Postretirement Benefit Obligations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Pension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sponsors a pension plan (the “Bargaining Plan”) for certain employees under collective bargaining agreements. Benefits under the Bargaining Plan are determined in accordance with negotiated formulas for the respective participants.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net periodic pension cost were as follows:</w:t>
      </w:r>
    </w:p>
    <w:p>
      <w:pPr>
        <w:pStyle w:val="TextBody"/>
        <w:bidi w:val="0"/>
        <w:spacing w:before="0" w:after="0"/>
        <w:jc w:val="left"/>
        <w:rPr/>
      </w:pPr>
      <w:r>
        <w:rPr/>
      </w:r>
    </w:p>
    <w:tbl>
      <w:tblPr>
        <w:tblW w:w="5646" w:type="dxa"/>
        <w:jc w:val="left"/>
        <w:tblInd w:w="0" w:type="dxa"/>
        <w:tblLayout w:type="fixed"/>
        <w:tblCellMar>
          <w:top w:w="28" w:type="dxa"/>
          <w:left w:w="28" w:type="dxa"/>
          <w:bottom w:w="28" w:type="dxa"/>
          <w:right w:w="28" w:type="dxa"/>
        </w:tblCellMar>
      </w:tblPr>
      <w:tblGrid>
        <w:gridCol w:w="1053"/>
        <w:gridCol w:w="927"/>
        <w:gridCol w:w="929"/>
        <w:gridCol w:w="109"/>
        <w:gridCol w:w="109"/>
        <w:gridCol w:w="109"/>
        <w:gridCol w:w="211"/>
        <w:gridCol w:w="481"/>
        <w:gridCol w:w="109"/>
        <w:gridCol w:w="109"/>
        <w:gridCol w:w="109"/>
        <w:gridCol w:w="109"/>
        <w:gridCol w:w="211"/>
        <w:gridCol w:w="481"/>
        <w:gridCol w:w="109"/>
        <w:gridCol w:w="109"/>
        <w:gridCol w:w="109"/>
        <w:gridCol w:w="109"/>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periodic pension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Contributions to the Bargaining Plan are based on actuarially determined amounts and are limited to the amounts currently deductible for income tax purposes. The Company did not make any contributions to the Bargaining Plan during the first quarter of 2026. The Company expects to make cash contributions to the Bargaining Plan of up to $5.0 million during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Postretirement Benefits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Company provides postretirement benefits for </w:t>
      </w:r>
      <w:r>
        <w:rPr>
          <w:rFonts w:ascii="Times New Roman;serif" w:hAnsi="Times New Roman;serif"/>
          <w:b w:val="false"/>
          <w:color w:val="000000"/>
          <w:sz w:val="20"/>
          <w:shd w:fill="FFFFFF" w:val="clear"/>
        </w:rPr>
        <w:t>employees meeting specified qualifying criteria</w:t>
      </w:r>
      <w:r>
        <w:rPr>
          <w:rFonts w:ascii="Times New Roman;serif" w:hAnsi="Times New Roman;serif"/>
          <w:b w:val="false"/>
          <w:color w:val="000000"/>
          <w:sz w:val="20"/>
        </w:rPr>
        <w:t>. The Company recognizes the cost of postretirement benefits, which consist principally of medical benefits, during employees’ periods of active service. The Company does not prefund these benefits and has the right to modify or terminate certain of these benefits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net periodic postretirement benefit cost were as follows:</w:t>
      </w:r>
    </w:p>
    <w:p>
      <w:pPr>
        <w:pStyle w:val="TextBody"/>
        <w:bidi w:val="0"/>
        <w:spacing w:before="0" w:after="0"/>
        <w:jc w:val="left"/>
        <w:rPr/>
      </w:pPr>
      <w:r>
        <w:rPr/>
      </w:r>
    </w:p>
    <w:tbl>
      <w:tblPr>
        <w:tblW w:w="6472" w:type="dxa"/>
        <w:jc w:val="left"/>
        <w:tblInd w:w="0" w:type="dxa"/>
        <w:tblLayout w:type="fixed"/>
        <w:tblCellMar>
          <w:top w:w="28" w:type="dxa"/>
          <w:left w:w="28" w:type="dxa"/>
          <w:bottom w:w="28" w:type="dxa"/>
          <w:right w:w="28" w:type="dxa"/>
        </w:tblCellMar>
      </w:tblPr>
      <w:tblGrid>
        <w:gridCol w:w="1244"/>
        <w:gridCol w:w="1094"/>
        <w:gridCol w:w="1097"/>
        <w:gridCol w:w="109"/>
        <w:gridCol w:w="109"/>
        <w:gridCol w:w="109"/>
        <w:gridCol w:w="211"/>
        <w:gridCol w:w="631"/>
        <w:gridCol w:w="109"/>
        <w:gridCol w:w="109"/>
        <w:gridCol w:w="109"/>
        <w:gridCol w:w="109"/>
        <w:gridCol w:w="211"/>
        <w:gridCol w:w="631"/>
        <w:gridCol w:w="109"/>
        <w:gridCol w:w="109"/>
        <w:gridCol w:w="109"/>
        <w:gridCol w:w="109"/>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periodic postretirement benefit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18.    Other Liabilities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 consisted of the following:</w:t>
      </w:r>
    </w:p>
    <w:p>
      <w:pPr>
        <w:pStyle w:val="TextBody"/>
        <w:bidi w:val="0"/>
        <w:spacing w:before="0" w:after="0"/>
        <w:jc w:val="left"/>
        <w:rPr/>
      </w:pPr>
      <w:r>
        <w:rPr/>
      </w:r>
    </w:p>
    <w:tbl>
      <w:tblPr>
        <w:tblW w:w="9173" w:type="dxa"/>
        <w:jc w:val="left"/>
        <w:tblInd w:w="0" w:type="dxa"/>
        <w:tblLayout w:type="fixed"/>
        <w:tblCellMar>
          <w:top w:w="28" w:type="dxa"/>
          <w:left w:w="28" w:type="dxa"/>
          <w:bottom w:w="28" w:type="dxa"/>
          <w:right w:w="28" w:type="dxa"/>
        </w:tblCellMar>
      </w:tblPr>
      <w:tblGrid>
        <w:gridCol w:w="2004"/>
        <w:gridCol w:w="1763"/>
        <w:gridCol w:w="1768"/>
        <w:gridCol w:w="109"/>
        <w:gridCol w:w="109"/>
        <w:gridCol w:w="109"/>
        <w:gridCol w:w="220"/>
        <w:gridCol w:w="880"/>
        <w:gridCol w:w="114"/>
        <w:gridCol w:w="109"/>
        <w:gridCol w:w="109"/>
        <w:gridCol w:w="109"/>
        <w:gridCol w:w="309"/>
        <w:gridCol w:w="1235"/>
        <w:gridCol w:w="226"/>
      </w:tblGrid>
      <w:tr>
        <w:trPr/>
        <w:tc>
          <w:tcPr>
            <w:tcW w:w="2004"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acquisition related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681,910 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642,970 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for executive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proceeds from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94,048 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939,797</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918,755</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19.    Debt</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is a summary of the Company’s debt: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6"/>
        <w:gridCol w:w="484"/>
        <w:gridCol w:w="458"/>
        <w:gridCol w:w="109"/>
        <w:gridCol w:w="109"/>
        <w:gridCol w:w="109"/>
        <w:gridCol w:w="297"/>
        <w:gridCol w:w="297"/>
        <w:gridCol w:w="298"/>
        <w:gridCol w:w="109"/>
        <w:gridCol w:w="109"/>
        <w:gridCol w:w="109"/>
        <w:gridCol w:w="264"/>
        <w:gridCol w:w="264"/>
        <w:gridCol w:w="268"/>
        <w:gridCol w:w="109"/>
        <w:gridCol w:w="109"/>
        <w:gridCol w:w="109"/>
        <w:gridCol w:w="428"/>
        <w:gridCol w:w="428"/>
        <w:gridCol w:w="435"/>
        <w:gridCol w:w="109"/>
        <w:gridCol w:w="109"/>
        <w:gridCol w:w="109"/>
        <w:gridCol w:w="325"/>
        <w:gridCol w:w="325"/>
        <w:gridCol w:w="326"/>
        <w:gridCol w:w="109"/>
        <w:gridCol w:w="109"/>
        <w:gridCol w:w="109"/>
        <w:gridCol w:w="211"/>
        <w:gridCol w:w="991"/>
        <w:gridCol w:w="109"/>
        <w:gridCol w:w="109"/>
        <w:gridCol w:w="109"/>
        <w:gridCol w:w="109"/>
        <w:gridCol w:w="211"/>
        <w:gridCol w:w="991"/>
        <w:gridCol w:w="157"/>
      </w:tblGrid>
      <w:tr>
        <w:trPr/>
        <w:tc>
          <w:tcPr>
            <w:tcW w:w="6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w:t>
              <w:br/>
              <w:t>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Public/</w:t>
              <w:br/>
              <w:t>Nonpublic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notes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Nonpublic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Term loan facility (the “Three-Year Term Loan Facility”)</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Nonpublic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Senior bonds (the “2029 Senior Bonds”)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Semi-annually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Public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Revolving credit facility</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Nonpublic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Nonpublic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Term loan facility (the “Five-Year Term Loan Facility”)</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Nonpublic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Senior bonds (the “2034 Senior Bonds”)</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Semi-annually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Public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Unamortized discount on senior bonds</w:t>
            </w:r>
            <w:r>
              <w:rPr>
                <w:rFonts w:ascii="Times New Roman;serif" w:hAnsi="Times New Roman;serif"/>
                <w:b w:val="false"/>
                <w:color w:val="000000"/>
                <w:sz w:val="13"/>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2,637,148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2,786,009</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Current portion of debt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2,537,148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2,686,009</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As of April 3, 2026 and December 31, 2025, the senior notes maturing in 2026 were classified as current portion of debt in the condensed consolidated balance sheets.</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The Term Loan Facilities (as defined below) were issued in connection with the financing of the Repurchase, as further discussed in Note 2.</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The 2029 Senior Bonds were issued at 99.843% of par.</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The Company’s revolving credit facility has an aggregate maximum borrowing capacity of $500 million. The Company currently believes all banks participating in the revolving credit facility have the ability to and will meet any funding requests from the Company.</w:t>
      </w:r>
    </w:p>
    <w:p>
      <w:pPr>
        <w:pStyle w:val="TextBody"/>
        <w:bidi w:val="0"/>
        <w:spacing w:lineRule="auto" w:line="288" w:before="0" w:after="0"/>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The 2034 Senior Bonds were issued at 99.893% of par.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mitigates its financing risk by using multiple financial institutions and only entering into credit arrangements with institutions with investment grade credit ratings. The Company monitors counterparty credit ratings on an ongoing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entered into the Bridge Facility, dated as of November 7, 2025, providing for a 364-day senior unsecured bridge term loan facility in the aggregate principal amount of $1.20 billion to fund the Repurchase. Also on November 7, 2025, the Company borrowed $1.20 billion under the Bridge Facility, the full amount available under the Bridge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8, 2025, the Company entered into a term loan agreement, providing for (i) the Three-Year Term Loan Facility, a senior unsecured term loan facility in the aggregate principal amount of up to $900 million, maturing on December 8, 2028 and (ii) the Five-Year Term Loan Facility, a senior unsecured term loan facility in the aggregate principal amount of up to $450 million, maturing on December 6, 2030 (collectively, the “Term Loan Facilities”). Also on December 8, 2025, the Company borrowed $1.35 billion under the Term Loan Facilities, the full amount available under the Term Loan Facilities. In conjunction with the borrowings under the Term Loan Facilities, the Company modified and extinguished the Bridge Facility discussed above, fully repaying the $1.20 billion outstanding under the Bridge Facility through a net cash settlement with the lender. On February 9, 2026, the Company repaid $150 million of the $450 million aggregate principal balance outstanding under the Five-Year Term Loan Facility using cash on hand, bringing the aggregate principal balance outstanding to $300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Subsequent to the end of the first quarter of 2026, on April 9, 2026, the Company repaid $75 million of the $300 million aggregate principal balance outstanding under the Five-Year Term Loan Facility using cash on hand, bringing the aggregate principal balance outstanding to $225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under which the 2029 Senior Bonds and the 2034 Senior Bonds were issued does not include financial covenants, but does limit the incurrence of certain liens and encumbrances as well as indebtedness by the Company’s subsidiaries in excess of certain amounts. The agreements under which the Company’s nonpublic debt, including its revolving credit facility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Term Loan Facilities, was issued include two financial covenants: a consolidated cash flow/fixed charges ratio and a consolidated funded indebtedness/cash flow ratio (each as defined in the respective agreement). The Company was in compliance with these covenants as of April 3, 2026. These covenants have not restricted the Company’s liquidity or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12, 2026, the Company entered into three $150 million fixed rate swap agreements, maturing on February 8, 2027, August 8, 2027 and February 8, 2028 to hedge a portion of the interest rate risk on the Three-Year Term Loan Facility and the Five-Year Term Loan Facility. Over the next 12 months, the Company expects approximately $1 million related to these interest rate swaps to be released from accumulated other comprehensive income (loss). These interest rate swaps are designated as cash flow hedging instruments and changes in their fair values are not expected to be material to the condensed consolidated balance sheets. Changes in the fair values of these interest rate swaps were classified as accumulated other comprehensive income (loss) on the condensed consolidated balance sheets and included in the condensed consolidated statements of comprehensive income. Settlements of interest rate swaps are included in cash flows from operating activities in the condensed consolidated statements of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outstanding debt has been issued by the Company and none has been issued by any of its subsidiaries. There are no guarantees of the Company’s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20.    Commitments and Contingencies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Manufacturing Cooperatives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obligated to purchase at least 80% of its requirements of plastic bottles for certain designated territories from Southeastern. The Company is also obligated to purchase 16.0 million cases of finished product from SAC on an annual basis through June 2034. The Company purchased 7.2 million cases and 6.3 million cases of finished product from SAC in the first quarter of 2026 and the first quarter of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purchases from these manufacturing cooperatives:</w:t>
      </w:r>
    </w:p>
    <w:p>
      <w:pPr>
        <w:pStyle w:val="TextBody"/>
        <w:bidi w:val="0"/>
        <w:spacing w:before="0" w:after="0"/>
        <w:jc w:val="left"/>
        <w:rPr/>
      </w:pPr>
      <w:r>
        <w:rPr/>
      </w:r>
    </w:p>
    <w:tbl>
      <w:tblPr>
        <w:tblW w:w="7612" w:type="dxa"/>
        <w:jc w:val="left"/>
        <w:tblInd w:w="0" w:type="dxa"/>
        <w:tblLayout w:type="fixed"/>
        <w:tblCellMar>
          <w:top w:w="28" w:type="dxa"/>
          <w:left w:w="28" w:type="dxa"/>
          <w:bottom w:w="28" w:type="dxa"/>
          <w:right w:w="28" w:type="dxa"/>
        </w:tblCellMar>
      </w:tblPr>
      <w:tblGrid>
        <w:gridCol w:w="1581"/>
        <w:gridCol w:w="1390"/>
        <w:gridCol w:w="1394"/>
        <w:gridCol w:w="109"/>
        <w:gridCol w:w="109"/>
        <w:gridCol w:w="109"/>
        <w:gridCol w:w="211"/>
        <w:gridCol w:w="736"/>
        <w:gridCol w:w="109"/>
        <w:gridCol w:w="109"/>
        <w:gridCol w:w="109"/>
        <w:gridCol w:w="109"/>
        <w:gridCol w:w="211"/>
        <w:gridCol w:w="736"/>
        <w:gridCol w:w="109"/>
        <w:gridCol w:w="109"/>
        <w:gridCol w:w="109"/>
        <w:gridCol w:w="109"/>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from Southeastern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from SAC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purchases from manufacturing cooperatives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96,185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80,292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guarantees a portion of SAC’s debt, which matures in 2028, based on the ratio of SAC’s total liabilities to SAC’s shareholders’ equity as of December 31 of each year. As of April 3, 2026 and December 31, 2025, the ratio of SAC’s total liabilities to SAC’s shareholders’ equity was such that the Company was not required to guarantee any of SAC’s debt. In the event SAC fails to fulfill its commitments under the related debt, the Company would be responsible for payment to the lenders up to the level of the guarantee. The Company does not anticipate SAC will fail to fulfill its commitments related to the debt. The Company further believes SAC has sufficient assets, including production equipment, facilities and working capital, and the ability to adjust the selling prices of its products to adequately mitigate the risk of material loss relating to the Company’s guarantee.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holds no assets as collateral against the SAC guarantee, the fair value of which is immaterial to the condensed consolidated financial statements. The Company monitors its investment in SAC and would be required to write down its investment if an impairment, other than a temporary impairment, was identified. No impairment of the Company’s investment in SAC was identified as of April 3, 2026, and there was no impairment identified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standby letters of credit, primarily related to its property and casualty insurance programs. These letters of credit totaled $47.5 million on both April 3, 2026 and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participates in long-term marketing contractual arrangements with certain prestige properties, athletic venues and other locations. As of April 3, 2026 and December 31, 2025, the future payments related to these contractual arrangements, which expire at various dates through 2035, amounted to $148.6 million and $151.1 million, respectively.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claims and legal proceedings which have arisen in the ordinary course of its business. Although it is difficult to predict the ultimate outcome of these claims and legal proceedings, management believes the ultimate disposition of these matters will not have a material adverse effect on the financial condition, results of operations or cash flows of the Company. No material amount of loss in excess of recorded amounts is believed to be reasonably possible as a result of these claims and 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subject to audits by tax authorities in jurisdictions where it conducts business. These audits may result in assessments that are subsequently resolved with the authorities or potentially through the courts. Management believes the Company has adequately provided for any assessments likely to result from these audits; however, final assessments, if any, could be different than the amounts recorded in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21.    Accumulated Other Comprehensive Income (Loss)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(“AOCI(L)”) is composed of adjustments to the Company’s pension and postretirement medical benefit plans, unrealized gains/losses on the Company’s interest rate swap agreements and unrealized gains/losses on the Company’s available-for-sale short-term investments.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is a summary of AOCI(L) for the first quarter of 2026 and the first quarter of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74"/>
        <w:gridCol w:w="601"/>
        <w:gridCol w:w="546"/>
        <w:gridCol w:w="109"/>
        <w:gridCol w:w="109"/>
        <w:gridCol w:w="109"/>
        <w:gridCol w:w="260"/>
        <w:gridCol w:w="818"/>
        <w:gridCol w:w="134"/>
        <w:gridCol w:w="109"/>
        <w:gridCol w:w="109"/>
        <w:gridCol w:w="109"/>
        <w:gridCol w:w="247"/>
        <w:gridCol w:w="741"/>
        <w:gridCol w:w="127"/>
        <w:gridCol w:w="121"/>
        <w:gridCol w:w="121"/>
        <w:gridCol w:w="121"/>
        <w:gridCol w:w="235"/>
        <w:gridCol w:w="562"/>
        <w:gridCol w:w="121"/>
        <w:gridCol w:w="109"/>
        <w:gridCol w:w="109"/>
        <w:gridCol w:w="109"/>
        <w:gridCol w:w="267"/>
        <w:gridCol w:w="610"/>
        <w:gridCol w:w="137"/>
        <w:gridCol w:w="117"/>
        <w:gridCol w:w="117"/>
        <w:gridCol w:w="117"/>
        <w:gridCol w:w="232"/>
        <w:gridCol w:w="460"/>
        <w:gridCol w:w="119"/>
        <w:gridCol w:w="109"/>
        <w:gridCol w:w="109"/>
        <w:gridCol w:w="109"/>
        <w:gridCol w:w="224"/>
        <w:gridCol w:w="694"/>
        <w:gridCol w:w="174"/>
      </w:tblGrid>
      <w:tr>
        <w:trPr/>
        <w:tc>
          <w:tcPr>
            <w:tcW w:w="87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Gains (Losses)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Reclassification 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Pre-tax Activity</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Pre-tax Activity</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 2026</w:t>
            </w:r>
          </w:p>
        </w:tc>
      </w:tr>
      <w:tr>
        <w:trPr/>
        <w:tc>
          <w:tcPr>
            <w:tcW w:w="2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pension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postretirement benefits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stranded tax effects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AOCI(L)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(6,005)</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1,521</w:t>
            </w: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(373)</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(4,667)</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4"/>
        <w:gridCol w:w="639"/>
        <w:gridCol w:w="583"/>
        <w:gridCol w:w="109"/>
        <w:gridCol w:w="109"/>
        <w:gridCol w:w="109"/>
        <w:gridCol w:w="269"/>
        <w:gridCol w:w="806"/>
        <w:gridCol w:w="140"/>
        <w:gridCol w:w="109"/>
        <w:gridCol w:w="109"/>
        <w:gridCol w:w="109"/>
        <w:gridCol w:w="312"/>
        <w:gridCol w:w="550"/>
        <w:gridCol w:w="142"/>
        <w:gridCol w:w="130"/>
        <w:gridCol w:w="130"/>
        <w:gridCol w:w="130"/>
        <w:gridCol w:w="252"/>
        <w:gridCol w:w="486"/>
        <w:gridCol w:w="130"/>
        <w:gridCol w:w="109"/>
        <w:gridCol w:w="109"/>
        <w:gridCol w:w="109"/>
        <w:gridCol w:w="365"/>
        <w:gridCol w:w="487"/>
        <w:gridCol w:w="153"/>
        <w:gridCol w:w="126"/>
        <w:gridCol w:w="126"/>
        <w:gridCol w:w="126"/>
        <w:gridCol w:w="265"/>
        <w:gridCol w:w="332"/>
        <w:gridCol w:w="133"/>
        <w:gridCol w:w="109"/>
        <w:gridCol w:w="109"/>
        <w:gridCol w:w="109"/>
        <w:gridCol w:w="245"/>
        <w:gridCol w:w="734"/>
        <w:gridCol w:w="192"/>
      </w:tblGrid>
      <w:tr>
        <w:trPr/>
        <w:tc>
          <w:tcPr>
            <w:tcW w:w="91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Gains (Losses)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Reclassification 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Pre-tax Activity</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Pre-tax Activity</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28, 2025</w:t>
            </w:r>
          </w:p>
        </w:tc>
      </w:tr>
      <w:tr>
        <w:trPr/>
        <w:tc>
          <w:tcPr>
            <w:tcW w:w="21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pension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postretirement benefits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stranded tax effects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AOCI(L)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1,885</w:t>
            </w: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1,871</w:t>
            </w:r>
            <w:r>
              <w:rPr>
                <w:color w:val="000000"/>
              </w:rPr>
              <w:t>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22.    Supplemental Disclosures of Cash Flow Information</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current assets and current liabilities affecting cash were as follows:</w:t>
      </w:r>
    </w:p>
    <w:p>
      <w:pPr>
        <w:pStyle w:val="TextBody"/>
        <w:bidi w:val="0"/>
        <w:spacing w:before="0" w:after="0"/>
        <w:jc w:val="left"/>
        <w:rPr/>
      </w:pPr>
      <w:r>
        <w:rPr/>
      </w:r>
    </w:p>
    <w:tbl>
      <w:tblPr>
        <w:tblW w:w="7235" w:type="dxa"/>
        <w:jc w:val="left"/>
        <w:tblInd w:w="0" w:type="dxa"/>
        <w:tblLayout w:type="fixed"/>
        <w:tblCellMar>
          <w:top w:w="28" w:type="dxa"/>
          <w:left w:w="28" w:type="dxa"/>
          <w:bottom w:w="28" w:type="dxa"/>
          <w:right w:w="28" w:type="dxa"/>
        </w:tblCellMar>
      </w:tblPr>
      <w:tblGrid>
        <w:gridCol w:w="1559"/>
        <w:gridCol w:w="1371"/>
        <w:gridCol w:w="1374"/>
        <w:gridCol w:w="109"/>
        <w:gridCol w:w="109"/>
        <w:gridCol w:w="109"/>
        <w:gridCol w:w="211"/>
        <w:gridCol w:w="796"/>
        <w:gridCol w:w="109"/>
        <w:gridCol w:w="109"/>
        <w:gridCol w:w="109"/>
        <w:gridCol w:w="109"/>
        <w:gridCol w:w="211"/>
        <w:gridCol w:w="796"/>
        <w:gridCol w:w="154"/>
      </w:tblGrid>
      <w:tr>
        <w:trPr/>
        <w:tc>
          <w:tcPr>
            <w:tcW w:w="155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from The Coca</w:t>
              <w:noBreakHyphen/>
              <w:t>Cola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to The Coca</w:t>
              <w:noBreakHyphen/>
              <w:t>Cola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current assets less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(46,089)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(19,676)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of Financial Condition and Results of Operations of Coca</w:t>
        <w:noBreakHyphen/>
        <w:t>Cola Consolidated, Inc., a Delaware corporation (together with its majority-owned subsidiaries, the “Company,” “we,” “us” or “our”), is intended to help the reader understand our financial condition and results of operations and is provided as an addition to, and should be read in conjunction with, our condensed consolidated financial statements and the accompanying notes to the condensed consolidated financial statements. The condensed consolidated financial statements include the accounts and the consolidated operations of the Company and its majority-owned subsidiaries. All comparisons are to the corresponding period in the prior year unless specified otherwise.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of the Company’s quarters, other than the fourth quarter, ends on the Friday closest to the last day of the corresponding quarterly calendar period. The Company’s fourth quarter and fiscal year end on December 31 regardless of the day of the week on which December 31 falls. The condensed consolidated financial statements presented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financial position as of April 3, 2026 and December 31,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results of operations, comprehensive income and changes in stockholders’ (deficit) equity for the three-month periods ended April 3, 2026 (the “first quarter” of fiscal 2026 (“2026”)) and March 28, 2025 (the “first quarter” of fiscal 2025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changes in cash flows for the first quarter of 2026 and the first quarter of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Our Business and the Nonalcoholic Beverage Industry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distribute, market and manufacture nonalcoholic beverages in territories spanning 14 states and the District of Columbia. The Company was incorporated in 1980 and, together with its predecessors, has been in the nonalcoholic beverage manufacturing and distribution business since 1902. We are the largest Coca</w:t>
        <w:noBreakHyphen/>
        <w:t>Cola bottler in the United States. Approximately 85% of our total bottle/can sales volume to retail customers consists of products of The Coca</w:t>
        <w:noBreakHyphen/>
        <w:t>Cola Company, which include some of the most recognized and popular beverage brands in the world. We also distribute products for several other beverage companies, including Monster Energy Company and Keurig Dr Pepper Inc. (“Dr Pepper”). Our Purpose is to honor God in all we do, to serve others, to pursue excellence and to grow profitably. Our Common Stock, par value $1.00 per share (“Common Stock”), is traded on The Nasdaq Global Select Market under the symbol “COKE.”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offer a range of nonalcoholic beverage products and flavors, including both sparkling and still beverages, designed to meet the demands of our consumers. Sparkling beverages are carbonated beverages and the Company’s principal sparkling beverage is Coca</w:t>
        <w:noBreakHyphen/>
        <w:t>Cola. Still beverages include energy products and noncarbonated beverages such as bottled water, ready-to-drink tea, ready-to-drink coffee, enhanced water, juices and sports drinks.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sales are divided into two main categories: (i) bottle/can sales and (ii) other sales. Bottle/can sales include products packaged primarily in plastic bottles and aluminum cans. Bottle/can net pricing is based on the invoice price charged to customers reduced by any promotional allowances. Bottle/can net pricing per unit is impacted by the price charged per package, the sales volume generated for each package and the channels in which those packages are sold. Other sales include sales to other Coca</w:t>
        <w:noBreakHyphen/>
        <w:t>Cola bottlers, post-mix sales, transportation revenue and equipment maintenance revenue. Post-mix products are dispensed through equipment that mixes fountain syrups with carbonated or still water, enabling fountain retailers to sell finished products to consumers in cups or glasses.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products are sold and distributed in the United States through various channels, which include selling directly to customers, including grocery stores, mass merchandise stores, club stores, convenience stores and drug stores, selling to on-premise locations, where products are typically consumed immediately, such as restaurants, schools, amusement parks and recreational facilities, and selling through other channels such as vending machine outlets. The Company also distributes its products using alternative routes to market (“ARTM”), which include distribution by third-party distributors, the manufacturer of the product or the customer’s supply chain infrastructure.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nonalcoholic beverage industry is highly competitive for both sparkling and still beverages. Our competitors include bottlers and distributors of nationally and regionally advertised and marketed products, as well as bottlers and distributors of private label beverages. Our principal competitors include local bottlers of PepsiCo, Inc. products and, in some regions, local bottlers of Dr Pepper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principal methods of competition in the nonalcoholic beverage industry are new brand and product introductions, point-of-sale merchandising, new vending and dispensing equipment, packaging changes, pricing, sales promotions, product quality, retail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space management, customer service, frequency of distribution and advertising. We believe we are competitive in our territories with respect to these methods of competition.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Business seasonality results primarily from higher unit sales of the Company’s products in the second and third quarters of the fiscal year, as sales of our products are typically correlated with warmer weather. We believe that we and other manufacturers from whom we purchase finished products have adequate production capacity to meet sales demand for sparkling and still beverages during these peak periods. Sales volume can also be impacted by weather conditions. Fixed costs, such as depreciation expense, are not significantly impacted by business seasonality.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Executive 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Results for the first quarter of 2026 included six additional days compared to the first quarter of 2025. For comparison purposes, the estimated impact of the six additional days in the first quarter of 2026 compared to the first quarter of 2025 has been excluded from our adjusted results, as presented in the “Adjusted Results (Non-GAAP)” section. The Company estimates the impact of the six additional days to be as follows:</w:t>
      </w:r>
    </w:p>
    <w:tbl>
      <w:tblPr>
        <w:tblW w:w="3655" w:type="dxa"/>
        <w:jc w:val="left"/>
        <w:tblInd w:w="0" w:type="dxa"/>
        <w:tblLayout w:type="fixed"/>
        <w:tblCellMar>
          <w:top w:w="28" w:type="dxa"/>
          <w:left w:w="28" w:type="dxa"/>
          <w:bottom w:w="28" w:type="dxa"/>
          <w:right w:w="28" w:type="dxa"/>
        </w:tblCellMar>
      </w:tblPr>
      <w:tblGrid>
        <w:gridCol w:w="739"/>
        <w:gridCol w:w="647"/>
        <w:gridCol w:w="653"/>
        <w:gridCol w:w="109"/>
        <w:gridCol w:w="109"/>
        <w:gridCol w:w="109"/>
        <w:gridCol w:w="277"/>
        <w:gridCol w:w="810"/>
        <w:gridCol w:w="202"/>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SD&amp;A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Volume was up 13.4% in the first quarter of 2026, or 6.4% on an adjusted basis. Our Sparkling category volume increased 12.2% in the first quarter of 2026, or 5.3% on an adjusted basis. The strong Sparkling volume performance was driven by growth across the entire portfolio, led by our zero-sugar offerings. In addition, Coca-Cola Original Taste volume grew in the quarter. Still category volume increased 17.5% in the first quarter of 2026, or 10.2% on an adjusted basis. Dasani casepack water accounted for a significant portion of the growth within our Still category. The remaining Still category volume growth was driven by strong performance across many brands, including Monster, Powerade, BODYARMOR and smartwater. In addition, volume in the first quarter of 2026 was also higher as compared to the first quarter of 2025 due to the timing of the Easter holiday, which we estimate impacted total volume by 0.5% to 1.0%.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increased 16.9% to $1.8 billion in the first quarter of 2026, or 8.5% on an adjusted basis. The growth in net sales was primarily the result of strong volume performance and annual pricing actions executed during the first quarter of 2026, as well as a shift in the Easter holiday. Sparkling and Still net sales increased 16.7% and 18.9%, respectively, in the first quarter of 2026 compared to the first quarter of 2025. Sparkling and Still adjusted net sales increased 8.6% and 10.6%, respectively, in the first quarter of 2026 compared to the first quarter of 2025. The increase in Sparkling category net sales was driven primarily by sales of multi-pack, take-home aluminum can packages sold within our large store, club and value channels. Net sales of our single-serve Still products were especially strong in our Energy category for convenience and value store customers. Price/mix in the Still category was unfavorably impacted by the increased Dasani casepack volume, as well as slowing volume in the Protein category due to supply constraints.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Gross profit in the first quarter of 2026 was $727.1 million, an increase of $100.0 million, or 15.9%. On an adjusted</w:t>
      </w:r>
      <w:r>
        <w:rPr>
          <w:color w:val="000000"/>
        </w:rPr>
        <w:t xml:space="preserve"> </w:t>
      </w:r>
      <w:r>
        <w:rPr>
          <w:rFonts w:ascii="Times New Roman;serif" w:hAnsi="Times New Roman;serif"/>
          <w:b w:val="false"/>
          <w:color w:val="000000"/>
          <w:sz w:val="20"/>
        </w:rPr>
        <w:t>basis, gross profit increased $41.7 million, or 6.6%. Gross margin in the first quarter of 2026 decreased 30 basis points to 39.4%. Adjusted</w:t>
      </w:r>
      <w:r>
        <w:rPr>
          <w:color w:val="000000"/>
        </w:rPr>
        <w:t xml:space="preserve"> </w:t>
      </w:r>
      <w:r>
        <w:rPr>
          <w:rFonts w:ascii="Times New Roman;serif" w:hAnsi="Times New Roman;serif"/>
          <w:b w:val="false"/>
          <w:color w:val="000000"/>
          <w:sz w:val="20"/>
        </w:rPr>
        <w:t xml:space="preserve">gross margin in the first quarter of 2026 decreased 70 basis points to 39.1%. The reduction in gross margin resulted primarily from an increase in aluminum costs, which was caused by geopolitical conflicts, supply constraints and the impact of elevated import tariffs. This heightened volatility resulted in approximately $35 million in additional input costs compared to the first quarter of 2025, which outpaced our pricing actions executed during the first quarter.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Selling, delivery and administrative (“SD&amp;A”) expenses in the first quarter of 2026 increased $52.3 million, or 12.0%. Approximately $25 million of the increase was related to the six additional days in the first quarter of 2026. Additionally, during the first quarter of 2026, we had a favorable, non-cash fair value adjustment to our fuel hedging positions of $10.0 million. On an adjusted basis, SD&amp;A expenses in the first quarter of 2026 increased $37.5 million, or 8.6%. SD&amp;A expenses as a percentage of net sales decreased to 26.5% in the first quarter of 2026 from 27.7% in the first quarter of 2025. On an adjusted basis, SD&amp;A expenses as a percentage of net sales in the first quarter of 2026 were 27.7%, consistent with the first quarter of 2025. The increase in adjusted SD&amp;A expenses was primarily driven by an additional investment in the base wages of our front-line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teammates, which became effective at the beginning of the third quarter of 2025. The remaining increase in adjusted SD&amp;A expenses was primarily driven by an increase in labor costs related to annual wage adjustments and higher medical benefits.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 in the first quarter of 2026 was $237.5 million, compared to $189.8 million in the first quarter of 2025, an increase of $47.7 million, or 25.1%. On an adjusted basis, income from operations in the first quarter of 2026 was $194.6 million, an increase of $4.2 million, most of which was due to the timing of the Easter holiday. Operating margin for the first quarter of 2026 was 12.9% as compared to 12.0% for the first quarter of 2025, an increase of 90 basis points. Adjusted operating margin for the first quarter of 2026 was 11.4% as compared to 12.1% for the first quarter of 2025, a decrease of 70 basis points.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in the first quarter of 2026 was $111.6 million, compared to $103.6 million in the first quarter of 2025, an increase of $7.9 million, or 7.7%. On an adjusted basis, net income in the first quarter of 2026 was $119.5 million, compared to $136.3 million in the first quarter of 2025, a decrease of $16.8 million, or 12.3%. The six additional days in the first quarter of 2026 increased net income by approximately $23 million during the quarter.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in the first quarter of 2026 was $39.7 million, compared to $35.9 million in the first quarter of 2025, resulting in an effective income tax rate of approximately 26% for the first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from operations for the first quarter of 2026 were $205.3 million, compared to $198.2 million for the first quarter of 2025. During the first quarter of 2026, we repaid $150.0 million of principal on one of our term loans. In fiscal year 2026, we expect capital expenditures to be approximately $300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noted above, the first quarter of 2026 included six extra days as compared to the first quarter of 2025. The fourth quarter of 2026 will include six fewer days as compared to the fourth quarter of 2025. The full fiscal years of 2026 and 2025 have the same number of days.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Areas of Emphasis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Key priorities for the Company include executing our commercial strategy, executing our revenue management strategy, optimizing our supply chain, generating cash flow, determining the optimal route to market and creating and maintaining a digitally enabled selling platform.</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Commercial Execution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Our success is dependent on our ability to execute our commercial strategy within our customers’ stores. Our ability to obtain shelf space within stores and remain in-stock across our portfolio of brands and packages in a profitable manner will have a significant impact on our results. We are focused on execution at every step in our supply chain, including raw material and finished product procurement, manufacturing conversion, transportation, warehousing and distribution, to ensure in-store execution can occur. We continue to invest in tools and technology to enable our teammates to operate more effectively and efficiently with our customers and to drive long-term value in our business. We also continue to focus on opportunities to enhance the customer experience by adapting to changes in our customer landscape, enabling operational flexibility and focusing on customer service.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Revenue Management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Our revenue management strategy focuses on pricing our brands and packages optimally within product categories and channels, creating effective working relationships with our customers and making disciplined, fact-based decisions. Pricing decisions are made considering a variety of factors, including brand strength, competitive environment, input costs, the roles certain brands play in our product portfolio and other market conditions.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Supply Chain Optimization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We are continually focused on optimizing our supply chain, which includes identifying nearby warehousing and distribution operations that can be consolidated into new facilities to increase capacity, expand production capabilities, reduce overall production costs and add automation to allow the Company to better serve its customers and consumers. The Company expects to continue to make significant capital investments to optimize our supply chain and to invest for future growth during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Cash Flow Generation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We have several initiatives in place to optimize cash flow, improve profitability, prudently manage capital expenditures and enhance capital returns to our stockholders. We believe strengthening our balance sheet gives us the flexibility to make optimal capital allocation decisions for long-term value creation. We have returned, and expect to continue to return, value to our stockholders.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Optimal Route to Market</w:t>
      </w:r>
      <w:r>
        <w:rPr>
          <w:rFonts w:ascii="Times New Roman;serif" w:hAnsi="Times New Roman;serif"/>
          <w:b w:val="false"/>
          <w:color w:val="000000"/>
          <w:sz w:val="20"/>
        </w:rPr>
        <w:t xml:space="preserve">: We are focused on implementing optimal methods of distribution of our products within our territories. Direct store delivery (“DSD”) is our preferred and primary route to market. Our typical DSD method uses Company-owned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vehicles and warehouses, but we increasingly shifted to alternative methods of distribution, or ARTM, beginning in 2024 and intend to continue using ARTM at similar rates for the foreseeable future. For example, in instances of post-mix delivery for use in fountain machines, we have shifted, and continue to shift, our delivery method towards alternative distributors in order to enhance profitability and customer service. We receive a fee from our brand partners on these post-mix gallons delivered to locally managed customers in our territories, which is recorded as a reduction to cost of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instances of bottle/can delivery, we have shifted certain products for certain customers and channels of business to ARTM. These ARTM include third-party distributors, the manufacturer of the product or the customer’s supply chain infrastructure. These bottle/can arrangements generally come with favorable commercial terms for the Company, and, because we have the exclusive distribution rights for nonalcoholic beverages within our franchise territories, we receive fees from our brand partners for the delivery of qualified product in our territories. These fees are reported in net sales but not our reported volume metrics.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2026, approximately two-thirds of our post-mix gallons and less than 10% of our bottle/can volume were delivered through ARTM. These ratios are consistent with the first quarter of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Digitally Enabled Selling Platform</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Through our investment in CONA Services LLC, we, along with other Coca-Cola bottlers, have built a digitally enabled selling platform called MyCoke that we believe has enabled, and will continue to enable, us to better serve our customers. This platform creates a more seamless order and payment platform for certain customers and we expect this platform will continue to enable us to enhance customer service and create more selling opportunities for our teammates. This platform is currently targeted to certain on-premise and small store customers.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First Quarter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results of operations for the first quarter of 2026 and the first quarter of 2025 are highlighted in the table below and discussed in the following paragraphs. Results for the first quarter of 2026 include six additional days compared to the first quarter of 2025.</w:t>
      </w:r>
    </w:p>
    <w:p>
      <w:pPr>
        <w:pStyle w:val="TextBody"/>
        <w:bidi w:val="0"/>
        <w:spacing w:before="0" w:after="0"/>
        <w:jc w:val="left"/>
        <w:rPr/>
      </w:pPr>
      <w:r>
        <w:rPr/>
      </w:r>
    </w:p>
    <w:tbl>
      <w:tblPr>
        <w:tblW w:w="10059" w:type="dxa"/>
        <w:jc w:val="left"/>
        <w:tblInd w:w="0" w:type="dxa"/>
        <w:tblLayout w:type="fixed"/>
        <w:tblCellMar>
          <w:top w:w="28" w:type="dxa"/>
          <w:left w:w="28" w:type="dxa"/>
          <w:bottom w:w="28" w:type="dxa"/>
          <w:right w:w="28" w:type="dxa"/>
        </w:tblCellMar>
      </w:tblPr>
      <w:tblGrid>
        <w:gridCol w:w="1915"/>
        <w:gridCol w:w="1686"/>
        <w:gridCol w:w="1694"/>
        <w:gridCol w:w="109"/>
        <w:gridCol w:w="109"/>
        <w:gridCol w:w="109"/>
        <w:gridCol w:w="211"/>
        <w:gridCol w:w="976"/>
        <w:gridCol w:w="109"/>
        <w:gridCol w:w="109"/>
        <w:gridCol w:w="109"/>
        <w:gridCol w:w="109"/>
        <w:gridCol w:w="211"/>
        <w:gridCol w:w="976"/>
        <w:gridCol w:w="109"/>
        <w:gridCol w:w="109"/>
        <w:gridCol w:w="109"/>
        <w:gridCol w:w="109"/>
        <w:gridCol w:w="211"/>
        <w:gridCol w:w="826"/>
        <w:gridCol w:w="154"/>
      </w:tblGrid>
      <w:tr>
        <w:trPr/>
        <w:tc>
          <w:tcPr>
            <w:tcW w:w="1915"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5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delivery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on acquisition related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112,894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103,597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9,297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increased $266.7 million, or 16.9%, to $1.85 billion in the first quarter of 2026, as compared to $1.58 billion in the first quarter of 2025. The six additional days in the first quarter of 2026 as compared to the first quarter of 2025 accounted for approximately $132 million of the increase in net sales during the first quarter of 2026. The remaining growth in net sales was primarily the result of increased sales volume and annual pricing actions during the first quarter of 2026, as well as a shift in the Easter holiday.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by product category were as follows:</w:t>
      </w:r>
    </w:p>
    <w:p>
      <w:pPr>
        <w:pStyle w:val="TextBody"/>
        <w:bidi w:val="0"/>
        <w:spacing w:before="0" w:after="0"/>
        <w:jc w:val="left"/>
        <w:rPr/>
      </w:pPr>
      <w:r>
        <w:rPr/>
      </w:r>
    </w:p>
    <w:tbl>
      <w:tblPr>
        <w:tblW w:w="7555" w:type="dxa"/>
        <w:jc w:val="left"/>
        <w:tblInd w:w="0" w:type="dxa"/>
        <w:tblLayout w:type="fixed"/>
        <w:tblCellMar>
          <w:top w:w="28" w:type="dxa"/>
          <w:left w:w="28" w:type="dxa"/>
          <w:bottom w:w="28" w:type="dxa"/>
          <w:right w:w="28" w:type="dxa"/>
        </w:tblCellMar>
      </w:tblPr>
      <w:tblGrid>
        <w:gridCol w:w="1010"/>
        <w:gridCol w:w="889"/>
        <w:gridCol w:w="891"/>
        <w:gridCol w:w="109"/>
        <w:gridCol w:w="109"/>
        <w:gridCol w:w="109"/>
        <w:gridCol w:w="211"/>
        <w:gridCol w:w="991"/>
        <w:gridCol w:w="109"/>
        <w:gridCol w:w="109"/>
        <w:gridCol w:w="109"/>
        <w:gridCol w:w="109"/>
        <w:gridCol w:w="211"/>
        <w:gridCol w:w="991"/>
        <w:gridCol w:w="109"/>
        <w:gridCol w:w="109"/>
        <w:gridCol w:w="109"/>
        <w:gridCol w:w="109"/>
        <w:gridCol w:w="262"/>
        <w:gridCol w:w="264"/>
        <w:gridCol w:w="636"/>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Bottle/can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Sparkling beverages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Still beverages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bottle/can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1,694,912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1,442,994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w:t>
            </w:r>
            <w:r>
              <w:rPr>
                <w:color w:val="000000"/>
              </w:rPr>
              <w:t> </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to other Coca</w:t>
              <w:noBreakHyphen/>
              <w:t>Cola bottlers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Post-mix sales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151,756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136,983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w:t>
            </w:r>
            <w:r>
              <w:rPr>
                <w:color w:val="000000"/>
              </w:rPr>
              <w:t>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1,846,668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1,579,977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w:t>
            </w:r>
            <w:r>
              <w:rPr>
                <w:color w:val="000000"/>
              </w:rPr>
              <w:t> </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Product category sales volume of standard physical cases (as defined below) and the percentage change by product category were as follows:</w:t>
      </w:r>
    </w:p>
    <w:p>
      <w:pPr>
        <w:pStyle w:val="TextBody"/>
        <w:bidi w:val="0"/>
        <w:spacing w:before="0" w:after="0"/>
        <w:jc w:val="left"/>
        <w:rPr/>
      </w:pPr>
      <w:r>
        <w:rPr/>
      </w:r>
    </w:p>
    <w:tbl>
      <w:tblPr>
        <w:tblW w:w="6648" w:type="dxa"/>
        <w:jc w:val="left"/>
        <w:tblInd w:w="0" w:type="dxa"/>
        <w:tblLayout w:type="fixed"/>
        <w:tblCellMar>
          <w:top w:w="28" w:type="dxa"/>
          <w:left w:w="28" w:type="dxa"/>
          <w:bottom w:w="28" w:type="dxa"/>
          <w:right w:w="28" w:type="dxa"/>
        </w:tblCellMar>
      </w:tblPr>
      <w:tblGrid>
        <w:gridCol w:w="939"/>
        <w:gridCol w:w="827"/>
        <w:gridCol w:w="828"/>
        <w:gridCol w:w="109"/>
        <w:gridCol w:w="109"/>
        <w:gridCol w:w="109"/>
        <w:gridCol w:w="367"/>
        <w:gridCol w:w="369"/>
        <w:gridCol w:w="176"/>
        <w:gridCol w:w="138"/>
        <w:gridCol w:w="138"/>
        <w:gridCol w:w="138"/>
        <w:gridCol w:w="367"/>
        <w:gridCol w:w="369"/>
        <w:gridCol w:w="176"/>
        <w:gridCol w:w="109"/>
        <w:gridCol w:w="109"/>
        <w:gridCol w:w="109"/>
        <w:gridCol w:w="262"/>
        <w:gridCol w:w="264"/>
        <w:gridCol w:w="636"/>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Bottle/can sales 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Sparkling beverages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65,765 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Still beverages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bottle/can sales volume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87,025</w:t>
            </w: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76,727</w:t>
            </w: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w:t>
            </w:r>
            <w:r>
              <w:rPr>
                <w:color w:val="000000"/>
              </w:rPr>
              <w:t> </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standard physical case is a volume metric used to standardize differing package configurations in order to measure delivered cases on an equivalent basis. As the Company evaluates its volume metrics, it reassesses the way in which physical case volume is measured, which may lead to differences from previously presented results in order to conform with current period standard volume measurement techniques, as used by management. Additionally, as the Company introduces new products, it reassesses the category assigned to its products at the SKU level, therefore categorization could differ from previously presented results in order to conform with current period categorization. Any differences are not material.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bottle/can sales volume above represents volume that is delivered directly to our customer outlets using Company-owned vehicles and warehouses. In order to serve our customers in the most efficient way, respond to customer demands and increase profitability, the Company has, in certain circumstances, shifted the delivery of our products to third-party distributors, the manufacturer of the product or the customer’s supply chain infrastructure, rather than using Company-owned vehicles and warehouses. As a result, these cases are not included in our reported case sales volume for the first quarter of 2026 or the first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percentage of the Company’s total bottle/can sales volume to its largest customers, as well as the percentage of the Company’s total net sales that such volume represents:</w:t>
      </w:r>
    </w:p>
    <w:p>
      <w:pPr>
        <w:pStyle w:val="TextBody"/>
        <w:bidi w:val="0"/>
        <w:spacing w:before="0" w:after="0"/>
        <w:jc w:val="left"/>
        <w:rPr/>
      </w:pPr>
      <w:r>
        <w:rPr/>
      </w:r>
    </w:p>
    <w:tbl>
      <w:tblPr>
        <w:tblW w:w="8422" w:type="dxa"/>
        <w:jc w:val="left"/>
        <w:tblInd w:w="0" w:type="dxa"/>
        <w:tblLayout w:type="fixed"/>
        <w:tblCellMar>
          <w:top w:w="28" w:type="dxa"/>
          <w:left w:w="28" w:type="dxa"/>
          <w:bottom w:w="28" w:type="dxa"/>
          <w:right w:w="28" w:type="dxa"/>
        </w:tblCellMar>
      </w:tblPr>
      <w:tblGrid>
        <w:gridCol w:w="2302"/>
        <w:gridCol w:w="2026"/>
        <w:gridCol w:w="2031"/>
        <w:gridCol w:w="109"/>
        <w:gridCol w:w="109"/>
        <w:gridCol w:w="109"/>
        <w:gridCol w:w="187"/>
        <w:gridCol w:w="189"/>
        <w:gridCol w:w="306"/>
        <w:gridCol w:w="109"/>
        <w:gridCol w:w="109"/>
        <w:gridCol w:w="109"/>
        <w:gridCol w:w="187"/>
        <w:gridCol w:w="189"/>
        <w:gridCol w:w="351"/>
      </w:tblGrid>
      <w:tr>
        <w:trPr/>
        <w:tc>
          <w:tcPr>
            <w:tcW w:w="2302"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Approximate percent of the Company’s total bottle/can sales 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Walmart Inc.</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 Kroger Co.</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approximate percent of the Company’s total bottle/can sales volume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Approximate percent of the Company’s total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Walmart Inc.</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 Kroger Co.</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approximate percent of the Company’s 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Includes bottle/can sales volume related to the Walmart, Sam’s Club and Walmart Neighborhood Market chains. </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Includes bottle/can sales volume related to the Kroger and Harris Teeter chains.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Inputs representing a substantial portion of the Company’s cost of sales include: (i) purchases of finished products, (ii) raw material costs, including aluminum cans, plastic bottles, carbon dioxide and sweetener, (iii) concentrate costs and (iv) manufacturing costs, including labor, overhead and warehouse costs. In addition, cost of sales includes shipping, handling and fuel costs related to the movement of finished products from manufacturing plants to distribution centers, amortization expense of distribution rights, distribution fees of certain products and marketing credits and post-mix funding from our brand partners. Input costs for products we produce, including underlying commodity costs for aluminum cans, plastic bottles, carbon dioxide and sweetener, as well as labels and other packaging materials, and excluding concentrate, represent approximately 20% to 25% of total annual cost of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 increased $166.7 million, or 17.5%, to $1.12 billion in the first quarter of 2026, as compared to $952.9 million in the first quarter of 2025. The six additional days in the first quarter of 2026 as compared to the first quarter of 2025 accounted for approximately $77 million of the increase in cost of sales during the first quarter of 2026. The increase in cost of sales was also impacted by higher input costs, specifically aluminum costs, which included the uncertainty surrounding geopolitical conflicts and the impact of elevated import tariffs.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relies extensively on advertising and sales promotions in the marketing of its products. The Coca</w:t>
        <w:noBreakHyphen/>
        <w:t>Cola Company and other beverage companies that supply concentrates, syrups and finished products to the Company make substantial marketing and advertising expenditures, including national advertising programs, to develop their brand identities and to promote sales in the Company’s territories. Our brand partners also provide funding related to the delivery of post-mix gallons to locally managed customers within the Company’s territories. Certain of these marketing, advertising and other funding expenditures are made pursuant to annual arrangements. Total funding support from The Coca</w:t>
        <w:noBreakHyphen/>
        <w:t>Cola Company and other beverage companies, which includes both direct payments to the Company and payments to customers for marketing programs, was $47.8 million in the first quarter of 2026 and $45.2 million in the first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Selling, Delivery and Administrative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SD&amp;A expenses include the following: sales management labor costs, distribution costs resulting from transporting finished products from distribution centers to customer locations, distribution center overhead including depreciation expense, distribution center warehousing costs, delivery vehicles and cold drink equipment, point-of-sale expenses, advertising expenses, cold drink equipment repair costs, amortization of intangible assets and administrative support labor and operating costs. Labor costs represent approximately two-thirds of total annual SD&amp;A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SD&amp;A expenses increased $52.3 million, or 12.0%, to $489.6 million in the first quarter of 2026, as compared to $437.3 million in the first quarter of 2025. The increase in SD&amp;A expenses was primarily attributable to the six additional days in the first quarter of 2026 as compared to the first quarter of 2025, which accounted for approximately $25 million of the increase in SD&amp;A expenses during the first quarter of 2026. Additionally, SD&amp;A expenses increased due to an increase in labor costs related to annual wage adjustments and an additional investment in the base wages of our front-line teammates, which became effective at the beginning of the third quarter of 2025. SD&amp;A expenses as a percentage of net sales decreased to 26.5% in the first quarter of 2026 from 27.7% in the first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Shipping and handling costs included in SD&amp;A expenses were approximately $216 million in the first quarter of 2026 and approximately $194 million in the first quarter of 2025. The increase in shipping and handling costs was primarily driven by the six additional days in the first quarter of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increased $25.2 million to $32.1 million in the first quarter of 2026, as compared to $6.9 million in the first quarter of 2025. The increase in interest expense, net was driven by a reduction in interest income related to lower cash and short-term investment balances and lower interest rates in the first quarter of 2026 as compared to the first quarter of 2025. The increase was also driven by an increase in interest expense on higher debt balances in the first quarter of 2026 as compared to the first quarter of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Mark-to-Market on Acquisition Related Contingent Consideration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reporting period, the Company adjusts its acquisition related contingent consideration liability to fair value, which is determined by discounting future expected acquisition related sub-bottling payments using the Company’s estimated weighted average cost of capital (“WACC”) and future cash flow projections, and records the fair value adjustment as mark-to-market on acquisition related contingent consideration in the condensed consolidated statement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Mark-to-market on acquisition related contingent consideration was an increase of $53.4 million in the first quarter of 2026 and an increase of $42.7 million in the first quarter of 2025. During the first quarter of 2026, the $53.4 million increase in the fair value of the acquisition related contingent consideration liability was driven by a decrease in the WACC used to calculate the fair value of the liability and higher projections of future cash flows in the distribution territories subject to acquisition related sub-bottling payments. During the first quarter of 2025, the $42.7 million increase in the fair value of the acquisition related contingent consideration liability was primarily driven by a decrease in the WACC used to calculate the fair value of the liability.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Expense,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 was $0.9 million in the first quarter of 2026, as compared to $0.7 million in the first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 was 26.2% for the first quarter of 2026 and 25.7% for the first quarter of 2025. The Company’s income tax expense increased $3.8 million, or 10.6%, to $39.7 million for the first quarter of 2026, as compared to $35.9 million for the first quarter of 2025. The increase in income tax expense was primarily attributable to higher income before taxes during the first quarter of 2026 as compared to the first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(loss), net of tax was income of $1.3 million in the first quarter of 2026 and $0.0 million in the first quarter of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Segment Operating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evaluates segment reporting in accordance with Financial Accounting Standards Board Accounting Standards Codification Topic 280, Segment Reporting, each reporting period, including evaluating the reporting package reviewed by the Chief Operating Decision Maker (the “CODM”). The Company has concluded the Chief Executive Officer, the Chief Operating Officer and the Chief Financial Officer, as a group, represent the CODM. Segment asset information is not provided to the CODM.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two operating segments, each identified by its unique products and services. Nonalcoholic Beverages represents the vast majority of the Company’s consolidated net sales and income from operations. The accounting policies of the Nonalcoholic Beverages operating segment are the same as those described in the summary of significant accounting policies presented in Note 1 to the consolidated financial statements included in the Company’s Annual Report on Form 10-K for 2025. The additional operating segment, which includes the Red Classic subsidiaries, does not meet the quantitative threshold for separate reporting and, therefore, has been reported as “All Other.”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Previously, the Company had three operating segments, Nonalcoholic Beverages and two additional operating segments, which included Data Ventures, Inc. and the Red Classic subsidiaries. Since the two additional operating segments did not meet the quantitative thresholds for separate reporting, either individually or in the aggregate, they were combined into “All Other.” As of December 31, 2025, the Data Ventures, Inc. operating segment was dissolved and merged into the Nonalcoholic Beverages operating segment. For reporting purposes, all prior periods presented have been retroactively adjusted to reflect the dissolution of the Data Ventures, Inc. operating segment within the All Other operating segment and the merger of the Data Ventures, Inc. operating segment with the Nonalcoholic Beverages operating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CODM uses net sales, gross profit and income from operations in the annual budgeting and forecasting process. Monthly, the CODM considers budget-to-actual variances and current year to prior year variances for these profit measures when making strategic business decisions and allocating resources to Company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segment results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2"/>
        <w:gridCol w:w="1074"/>
        <w:gridCol w:w="1020"/>
        <w:gridCol w:w="109"/>
        <w:gridCol w:w="109"/>
        <w:gridCol w:w="109"/>
        <w:gridCol w:w="301"/>
        <w:gridCol w:w="1397"/>
        <w:gridCol w:w="155"/>
        <w:gridCol w:w="109"/>
        <w:gridCol w:w="109"/>
        <w:gridCol w:w="109"/>
        <w:gridCol w:w="211"/>
        <w:gridCol w:w="721"/>
        <w:gridCol w:w="109"/>
        <w:gridCol w:w="109"/>
        <w:gridCol w:w="109"/>
        <w:gridCol w:w="109"/>
        <w:gridCol w:w="262"/>
        <w:gridCol w:w="921"/>
        <w:gridCol w:w="137"/>
        <w:gridCol w:w="109"/>
        <w:gridCol w:w="109"/>
        <w:gridCol w:w="109"/>
        <w:gridCol w:w="211"/>
        <w:gridCol w:w="976"/>
        <w:gridCol w:w="160"/>
      </w:tblGrid>
      <w:tr>
        <w:trPr/>
        <w:tc>
          <w:tcPr>
            <w:tcW w:w="124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 2026</w:t>
            </w:r>
          </w:p>
        </w:tc>
      </w:tr>
      <w:tr>
        <w:trPr/>
        <w:tc>
          <w:tcPr>
            <w:tcW w:w="3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Nonalcoholic Beverages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Eliminations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1,833,819 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(76,631)</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1,846,668 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1,124,213 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1,119,588 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(18,553)</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727,080 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delivery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Fleet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 expense</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segment items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delivery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478,228</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(18,553)</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489,556</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231,378</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237,524</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depreciation and amortization expense</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51,590 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56,902 </w:t>
            </w:r>
          </w:p>
        </w:tc>
        <w:tc>
          <w:tcPr>
            <w:tcW w:w="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2"/>
        <w:gridCol w:w="1074"/>
        <w:gridCol w:w="1020"/>
        <w:gridCol w:w="109"/>
        <w:gridCol w:w="109"/>
        <w:gridCol w:w="109"/>
        <w:gridCol w:w="301"/>
        <w:gridCol w:w="1397"/>
        <w:gridCol w:w="155"/>
        <w:gridCol w:w="109"/>
        <w:gridCol w:w="109"/>
        <w:gridCol w:w="109"/>
        <w:gridCol w:w="211"/>
        <w:gridCol w:w="721"/>
        <w:gridCol w:w="109"/>
        <w:gridCol w:w="109"/>
        <w:gridCol w:w="109"/>
        <w:gridCol w:w="109"/>
        <w:gridCol w:w="262"/>
        <w:gridCol w:w="921"/>
        <w:gridCol w:w="137"/>
        <w:gridCol w:w="109"/>
        <w:gridCol w:w="109"/>
        <w:gridCol w:w="109"/>
        <w:gridCol w:w="211"/>
        <w:gridCol w:w="976"/>
        <w:gridCol w:w="160"/>
      </w:tblGrid>
      <w:tr>
        <w:trPr/>
        <w:tc>
          <w:tcPr>
            <w:tcW w:w="124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 2025</w:t>
            </w:r>
          </w:p>
        </w:tc>
      </w:tr>
      <w:tr>
        <w:trPr/>
        <w:tc>
          <w:tcPr>
            <w:tcW w:w="3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Nonalcoholic Beverages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Eliminations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1,569,097 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(64,230)</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1,579,977 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954,935 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952,873 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614,162 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627,104 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delivery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Fleet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 expense</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segment items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delivery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426,919</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(16,875)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437,284</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187,243</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189,820</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depreciation and amortization expense</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48,050 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53,373 </w:t>
            </w:r>
          </w:p>
        </w:tc>
        <w:tc>
          <w:tcPr>
            <w:tcW w:w="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 entire net sales elimination represents net sales from the All Other operating segment to the Nonalcoholic Beverages operating segment. The entire cost of goods sold and SD&amp;A eliminations represent costs incurred by the All Other operating segment in the generation of net sales to the Nonalcoholic Beverages operating segment.</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Payroll costs includes compensation, incentive plans, defined contribution plans, healthcare benefits and tax-advantaged spending accounts.</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Fleet costs includes fleet repairs, maintenance and fuel and oil costs.</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Total depreciation and amortization expense is included within both cost of goods sold and SD&amp;A expenses. For segment reporting, the difference between total depreciation and amortization expense and the portion within SD&amp;A expenses is the amount within cost of goods sold.</w:t>
      </w:r>
    </w:p>
    <w:p>
      <w:pPr>
        <w:pStyle w:val="TextBody"/>
        <w:bidi w:val="0"/>
        <w:spacing w:lineRule="auto" w:line="288" w:before="0" w:after="0"/>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All other segment items includes information technology costs, stewardship, insurance and other costs incurred in the selling and delivery of the Company’s products.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Adjusted Results (Non-GAAP)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reports its financial results in accordance with accounting principles generally accepted in the United States (“GAAP”). However, management believes that certain non-GAAP financial measures provide users of the financial statements with additional, meaningful financial information that should be considered, in addition to the measures reported in accordance with GAAP, when assessing the Company’s ongoing performance. Management also uses these non-GAAP financial measures in making financial, operating and planning decisions and in evaluating the Company’s performance. Non-GAAP financial measures should be viewed in addition to, and not as an alternative for, the Company’s reported results prepared in accordance with GAAP. The Company’s non-GAAP financial information does not represent a comprehensive basis of accounting.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Results for the first quarter of 2026 include six additional days compared to the first quarter of 2025. For comparison purposes, the estimated impact of the additional selling days in the first quarter of 2026 has been excluded from our adjusted volume results and adjusted net sales results.</w:t>
      </w:r>
    </w:p>
    <w:p>
      <w:pPr>
        <w:pStyle w:val="TextBody"/>
        <w:bidi w:val="0"/>
        <w:spacing w:before="0" w:after="0"/>
        <w:jc w:val="left"/>
        <w:rPr/>
      </w:pPr>
      <w:r>
        <w:rPr/>
      </w:r>
    </w:p>
    <w:tbl>
      <w:tblPr>
        <w:tblW w:w="8409" w:type="dxa"/>
        <w:jc w:val="left"/>
        <w:tblInd w:w="0" w:type="dxa"/>
        <w:tblLayout w:type="fixed"/>
        <w:tblCellMar>
          <w:top w:w="28" w:type="dxa"/>
          <w:left w:w="28" w:type="dxa"/>
          <w:bottom w:w="28" w:type="dxa"/>
          <w:right w:w="28" w:type="dxa"/>
        </w:tblCellMar>
      </w:tblPr>
      <w:tblGrid>
        <w:gridCol w:w="1343"/>
        <w:gridCol w:w="1176"/>
        <w:gridCol w:w="1186"/>
        <w:gridCol w:w="109"/>
        <w:gridCol w:w="109"/>
        <w:gridCol w:w="109"/>
        <w:gridCol w:w="315"/>
        <w:gridCol w:w="315"/>
        <w:gridCol w:w="316"/>
        <w:gridCol w:w="114"/>
        <w:gridCol w:w="114"/>
        <w:gridCol w:w="114"/>
        <w:gridCol w:w="263"/>
        <w:gridCol w:w="263"/>
        <w:gridCol w:w="151"/>
        <w:gridCol w:w="114"/>
        <w:gridCol w:w="114"/>
        <w:gridCol w:w="114"/>
        <w:gridCol w:w="263"/>
        <w:gridCol w:w="263"/>
        <w:gridCol w:w="191"/>
        <w:gridCol w:w="109"/>
        <w:gridCol w:w="109"/>
        <w:gridCol w:w="109"/>
        <w:gridCol w:w="109"/>
        <w:gridCol w:w="109"/>
        <w:gridCol w:w="109"/>
        <w:gridCol w:w="109"/>
        <w:gridCol w:w="109"/>
        <w:gridCol w:w="109"/>
        <w:gridCol w:w="109"/>
        <w:gridCol w:w="109"/>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Sparkling</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Still</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65.7</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87.0</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 related to extra days in fiscal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61.6</w:t>
            </w:r>
            <w:r>
              <w:rPr>
                <w:color w:val="000000"/>
              </w:rPr>
              <w:t>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w:t>
            </w: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81.6</w:t>
            </w:r>
            <w:r>
              <w:rPr>
                <w:color w:val="000000"/>
              </w:rPr>
              <w:t>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640" w:type="dxa"/>
        <w:jc w:val="left"/>
        <w:tblInd w:w="0" w:type="dxa"/>
        <w:tblLayout w:type="fixed"/>
        <w:tblCellMar>
          <w:top w:w="28" w:type="dxa"/>
          <w:left w:w="28" w:type="dxa"/>
          <w:bottom w:w="28" w:type="dxa"/>
          <w:right w:w="28" w:type="dxa"/>
        </w:tblCellMar>
      </w:tblPr>
      <w:tblGrid>
        <w:gridCol w:w="1310"/>
        <w:gridCol w:w="1147"/>
        <w:gridCol w:w="1157"/>
        <w:gridCol w:w="109"/>
        <w:gridCol w:w="109"/>
        <w:gridCol w:w="109"/>
        <w:gridCol w:w="263"/>
        <w:gridCol w:w="263"/>
        <w:gridCol w:w="526"/>
        <w:gridCol w:w="109"/>
        <w:gridCol w:w="109"/>
        <w:gridCol w:w="109"/>
        <w:gridCol w:w="263"/>
        <w:gridCol w:w="263"/>
        <w:gridCol w:w="271"/>
        <w:gridCol w:w="109"/>
        <w:gridCol w:w="109"/>
        <w:gridCol w:w="109"/>
        <w:gridCol w:w="263"/>
        <w:gridCol w:w="263"/>
        <w:gridCol w:w="317"/>
        <w:gridCol w:w="109"/>
        <w:gridCol w:w="109"/>
        <w:gridCol w:w="109"/>
        <w:gridCol w:w="109"/>
        <w:gridCol w:w="109"/>
        <w:gridCol w:w="109"/>
        <w:gridCol w:w="109"/>
        <w:gridCol w:w="109"/>
        <w:gridCol w:w="109"/>
        <w:gridCol w:w="109"/>
        <w:gridCol w:w="109"/>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Sparkling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58.6</w:t>
            </w:r>
            <w:r>
              <w:rPr>
                <w:color w:val="000000"/>
              </w:rPr>
              <w:t>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w:t>
            </w: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Reported % Change vs. First Quarter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12.2 </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13.4 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Adjusted % Change vs. First Quarter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5.3 </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6.4 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17"/>
        <w:gridCol w:w="1493"/>
        <w:gridCol w:w="1506"/>
        <w:gridCol w:w="109"/>
        <w:gridCol w:w="109"/>
        <w:gridCol w:w="109"/>
        <w:gridCol w:w="211"/>
        <w:gridCol w:w="781"/>
        <w:gridCol w:w="109"/>
        <w:gridCol w:w="109"/>
        <w:gridCol w:w="109"/>
        <w:gridCol w:w="109"/>
        <w:gridCol w:w="211"/>
        <w:gridCol w:w="631"/>
        <w:gridCol w:w="109"/>
        <w:gridCol w:w="109"/>
        <w:gridCol w:w="109"/>
        <w:gridCol w:w="109"/>
        <w:gridCol w:w="211"/>
        <w:gridCol w:w="781"/>
        <w:gridCol w:w="109"/>
        <w:gridCol w:w="109"/>
        <w:gridCol w:w="109"/>
        <w:gridCol w:w="109"/>
        <w:gridCol w:w="109"/>
        <w:gridCol w:w="109"/>
        <w:gridCol w:w="109"/>
        <w:gridCol w:w="109"/>
        <w:gridCol w:w="109"/>
        <w:gridCol w:w="109"/>
        <w:gridCol w:w="109"/>
        <w:gridCol w:w="109"/>
        <w:gridCol w:w="156"/>
      </w:tblGrid>
      <w:tr>
        <w:trPr/>
        <w:tc>
          <w:tcPr>
            <w:tcW w:w="1717"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Sparkling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Bottle/can beverage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Bottle/can beverage sales related to extra days in fiscal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bottle/can beverage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1,014.0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437" w:type="dxa"/>
        <w:jc w:val="left"/>
        <w:tblInd w:w="0" w:type="dxa"/>
        <w:tblLayout w:type="fixed"/>
        <w:tblCellMar>
          <w:top w:w="28" w:type="dxa"/>
          <w:left w:w="28" w:type="dxa"/>
          <w:bottom w:w="28" w:type="dxa"/>
          <w:right w:w="28" w:type="dxa"/>
        </w:tblCellMar>
      </w:tblPr>
      <w:tblGrid>
        <w:gridCol w:w="1310"/>
        <w:gridCol w:w="1147"/>
        <w:gridCol w:w="1157"/>
        <w:gridCol w:w="109"/>
        <w:gridCol w:w="109"/>
        <w:gridCol w:w="109"/>
        <w:gridCol w:w="211"/>
        <w:gridCol w:w="631"/>
        <w:gridCol w:w="271"/>
        <w:gridCol w:w="109"/>
        <w:gridCol w:w="109"/>
        <w:gridCol w:w="109"/>
        <w:gridCol w:w="211"/>
        <w:gridCol w:w="631"/>
        <w:gridCol w:w="271"/>
        <w:gridCol w:w="109"/>
        <w:gridCol w:w="109"/>
        <w:gridCol w:w="109"/>
        <w:gridCol w:w="211"/>
        <w:gridCol w:w="781"/>
        <w:gridCol w:w="271"/>
        <w:gridCol w:w="109"/>
        <w:gridCol w:w="109"/>
        <w:gridCol w:w="109"/>
        <w:gridCol w:w="109"/>
        <w:gridCol w:w="109"/>
        <w:gridCol w:w="109"/>
        <w:gridCol w:w="109"/>
        <w:gridCol w:w="109"/>
        <w:gridCol w:w="109"/>
        <w:gridCol w:w="109"/>
        <w:gridCol w:w="109"/>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Sparkling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Bottle/can beverage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933.8</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509.2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1,443.0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Reported % Change vs. First Quarter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Adjusted % Change vs. First Quarter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192"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reconcile reported results (GAAP) to adjusted results (non-GAAP):</w:t>
      </w:r>
    </w:p>
    <w:p>
      <w:pPr>
        <w:pStyle w:val="TextBody"/>
        <w:bidi w:val="0"/>
        <w:spacing w:before="0" w:after="0"/>
        <w:jc w:val="left"/>
        <w:rPr/>
      </w:pPr>
      <w:r>
        <w:rPr/>
      </w:r>
    </w:p>
    <w:tbl>
      <w:tblPr>
        <w:tblW w:w="11572" w:type="dxa"/>
        <w:jc w:val="left"/>
        <w:tblInd w:w="0" w:type="dxa"/>
        <w:tblLayout w:type="fixed"/>
        <w:tblCellMar>
          <w:top w:w="28" w:type="dxa"/>
          <w:left w:w="28" w:type="dxa"/>
          <w:bottom w:w="28" w:type="dxa"/>
          <w:right w:w="28" w:type="dxa"/>
        </w:tblCellMar>
      </w:tblPr>
      <w:tblGrid>
        <w:gridCol w:w="701"/>
        <w:gridCol w:w="287"/>
        <w:gridCol w:w="288"/>
        <w:gridCol w:w="109"/>
        <w:gridCol w:w="109"/>
        <w:gridCol w:w="109"/>
        <w:gridCol w:w="211"/>
        <w:gridCol w:w="99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52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9" w:type="dxa"/>
            <w:gridSpan w:val="3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Quarter 2026</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SD&amp;A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before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Basic net income per share</w:t>
            </w:r>
          </w:p>
        </w:tc>
      </w:tr>
      <w:tr>
        <w:trPr/>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Reported results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1,846,668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727,080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489,556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237,524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151,219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111,556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adjustment of acquisition related contingent consideration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adjustments for commodity derivative instruments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Results of extra days in fiscal period</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reconciling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(132,000)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(57,498)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(42,875)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results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1,714,668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669,582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474,933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194,649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161,735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119,474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tbl>
      <w:tblPr>
        <w:tblW w:w="11572" w:type="dxa"/>
        <w:jc w:val="left"/>
        <w:tblInd w:w="0" w:type="dxa"/>
        <w:tblLayout w:type="fixed"/>
        <w:tblCellMar>
          <w:top w:w="28" w:type="dxa"/>
          <w:left w:w="28" w:type="dxa"/>
          <w:bottom w:w="28" w:type="dxa"/>
          <w:right w:w="28" w:type="dxa"/>
        </w:tblCellMar>
      </w:tblPr>
      <w:tblGrid>
        <w:gridCol w:w="701"/>
        <w:gridCol w:w="287"/>
        <w:gridCol w:w="288"/>
        <w:gridCol w:w="109"/>
        <w:gridCol w:w="109"/>
        <w:gridCol w:w="109"/>
        <w:gridCol w:w="211"/>
        <w:gridCol w:w="99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52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9" w:type="dxa"/>
            <w:gridSpan w:val="3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Quarter 2025</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SD&amp;A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before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Basic net income per share</w:t>
            </w:r>
            <w:r>
              <w:rPr>
                <w:rFonts w:ascii="Times New Roman;serif" w:hAnsi="Times New Roman;serif"/>
                <w:b/>
                <w:color w:val="000000"/>
                <w:sz w:val="13"/>
              </w:rPr>
              <w:t>(4)</w:t>
            </w:r>
          </w:p>
        </w:tc>
      </w:tr>
      <w:tr>
        <w:trPr/>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Reported results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1,579,977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627,104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437,284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189,820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139,473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103,611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adjustment of acquisition related contingent consideration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adjustments for commodity derivative instruments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43,362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results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1,579,977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627,903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437,449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190,454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182,835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136,262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is an explanation of non-GAAP adjustments: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This non-cash, fair value adjustment of acquisition related contingent consideration fluctuates based on factors such as long-term interest rates and future cash flow projections of the distribution territories subject to acquisition related sub-bottling payments.</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The Company enters into commodity derivative instruments from time to time to hedge some of its projected purchases of aluminum, as well as some or all of its projected purchases of PET resin, diesel fuel and unleaded gasoline in order to mitigate commodity price risk. The Company accounts for its commodity derivative instruments on a mark-to-market basis.</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Due to the shift in the fiscal calendar, the first quarter of 2026 contained six extra days when compared to the first quarter of 2025. The fourth quarter of 2026 will include six fewer days as compared to the fourth quarter of 2025. The full fiscal years of 2026 and 2025 have the same number of days.</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All share or per share amounts impacting the basic net income per share amounts have been retroactively adjusted to reflect the effects of the Stock Split (as defined below) executed by the Company during the second quarter of 2025. Refer to the discussion under “Liquidity and Capital Resources” below for further details related to the Stock Split.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were $4.39 billion as of April 3, 2026, which was an increase of $89.7 million from December 31, 2025. Net working capital, defined as current assets less current liabilities, was $285.3 million as of April 3, 2026, which was a decrease of $12.7 million from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changes in net working capital as of April 3, 2026 as compared to December 31, 2025 were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decrease in cash and cash equivalents of $49.0 million, primarily as a result of the repayment of $150 million on the Five-Year Term Loan Facility (as defined below) and additions to property, plant and equipment during the first quarter of 2026, partially offset by the Company’s strong operating performance during the first quarter of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accounts receivable from The Coca-Cola Company of $47.4 million due to the timing of cash receipts.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inventories of $52.3 million, primarily driven by the timing of seasonal inventory levels.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accounts payable, trade of $61.2 million, primarily driven by the timing of cash payments.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accounts payable to The Coca-Cola Company of $97.4 million, primarily driven by the timing of cash payments.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decrease in accrued compensation of $84.0 million, primarily as a result of the timing of bonus and incentive payments in the first quarter of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sources of capital include cash flows from operations, available credit facilities and the issuance of debt and equity securities. As of April 3, 2026, the Company had $232.9 million in cash and cash equivalents. The Company’s cash equivalent balance as of April 3, 2026 consisted predominantly of investments in money market funds. As of April 3, 2026, the Company did not have any short-term investments. Historically, short-term investments have consisted primarily of U.S. Treasury securities and investment-grade corporate bonds with maturities of one year or less. The Company has obtained its debt from public markets, private placements and bank facilities. Management believes the Company has sufficient sources of capital available to finance its business plan, to meet its working capital requirements and to maintain an appropriate level of capital spending for at least the next 12 months from the issuance of the condensed consolidated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November 7, 2025, the Company entered into a purchase agreement (the “Repurchase Agreement”) with Carolina Coca-Cola Bottling Investments, Inc. (the</w:t>
      </w:r>
      <w:r>
        <w:rPr>
          <w:color w:val="000000"/>
        </w:rPr>
        <w:t xml:space="preserve"> “</w:t>
      </w:r>
      <w:r>
        <w:rPr>
          <w:rFonts w:ascii="Times New Roman;serif" w:hAnsi="Times New Roman;serif"/>
          <w:b w:val="false"/>
          <w:color w:val="000000"/>
          <w:sz w:val="20"/>
        </w:rPr>
        <w:t>Seller”), an indirect wholly owned subsidiary of The Coca</w:t>
        <w:noBreakHyphen/>
        <w:t>Cola Company, The Coca</w:t>
        <w:noBreakHyphen/>
        <w:t>Cola Company and J. Frank Harrison, III, Chairman of the Board of Directors and Chief Executive Officer of the Company, pursuant to which the Company agreed to purchase and the Seller agreed to sell all of the Seller’s shares of Common Stock for a cash payment in the aggregate amount of $2.40 billion (the “Repurchase”). The closing of the Repurchase also occurred on November 7, 2025. The Company funded the purchase price for the Repurchase with cash on hand and a term loan obtained under a certain bridge loan agreement (the “Bridge Facility”), as further discussed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Upon completion of the Repurchase, the 18,835,460 shares of Common Stock repurchased from the Seller were retired and recorded as a reduction to Common Stock at par value, with the excess of carrying value over par value recorded as a deduction from retained (deficit) earnings. As a result, the Company was in a deficit position as of April 3, 2026. This deficit position does not impact the Company’s ability to pay dividends.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March 4, 2025, the Company announced that its Board of Directors had approved a 10-for-1 forward stock split (the “Stock Split”) of Common Stock and its Class B Common Stock, par value $1.00 per share (“Class B Common Stock”). The Stock Split was effected through an amendment to the Company’s Restated Certificate of Incorporation (the “Amendment”). The Amendment also effected a proportionate increase in the number of authorized shares of Common Stock and Class B Common Stock. The Amendment obtained stockholder approval at the Company’s 2025 Annual Meeting of Stockholders, which took place on May 13, 2025. Each stockholder of record as of the close of business on May 16, 2025 received nine additional shares for each share of Common Stock or Class B Common Stock held as of such date reflected in the stockholder’s account on May 23, 2025. Trading began on a split-adjusted basis on May 27, 2025. The par value per share of Common Stock and Class B Common Stock remains unchanged.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20, 2024, the Company announced that its Board of Directors had approved a share repurchase program (the “Share Repurchase Program”) under which the Company was initially authorized to repurchase up to $1.00 billion of Common Stock. On November 7, 2025, the Company’s Board of Directors reduced the total authorization under the Share Repurchase Program from $1.00 billion to $400.0 million. The Company expects share repurchases to be made from time to time in the open market or through private transactions or block trades. The timing and amount of repurchases will depend on market conditions, the prevailing market price, applicable legal requirements and other factors. The share repurchase authorization is discretionary and has no expiration date. During the first quarter of 2026, the Company did not repurchase any shares of Common Stock under the Share Repurchase Program. As of April 3, 2026, the total remaining authorization under the Share Repurchase Program was $136.3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debt as of April 3, 2026 and December 31, 2025 was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56"/>
        <w:gridCol w:w="1544"/>
        <w:gridCol w:w="1547"/>
        <w:gridCol w:w="109"/>
        <w:gridCol w:w="109"/>
        <w:gridCol w:w="109"/>
        <w:gridCol w:w="432"/>
        <w:gridCol w:w="432"/>
        <w:gridCol w:w="434"/>
        <w:gridCol w:w="109"/>
        <w:gridCol w:w="109"/>
        <w:gridCol w:w="109"/>
        <w:gridCol w:w="211"/>
        <w:gridCol w:w="991"/>
        <w:gridCol w:w="109"/>
        <w:gridCol w:w="109"/>
        <w:gridCol w:w="109"/>
        <w:gridCol w:w="109"/>
        <w:gridCol w:w="274"/>
        <w:gridCol w:w="1290"/>
        <w:gridCol w:w="204"/>
      </w:tblGrid>
      <w:tr>
        <w:trPr/>
        <w:tc>
          <w:tcPr>
            <w:tcW w:w="1756"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notes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Term loan facility (the “Three-Year Term Loan Facility”)</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Senior bonds (the “2029 Senior Bonds”)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Revolving credit facility</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Term loan facility (the “Five-Year Term Loan Facility”)</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bonds (the “2034 Senior Bonds”)</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Unamortized discount on senior bonds</w:t>
            </w:r>
            <w:r>
              <w:rPr>
                <w:rFonts w:ascii="Times New Roman;serif" w:hAnsi="Times New Roman;serif"/>
                <w:b w:val="false"/>
                <w:color w:val="000000"/>
                <w:sz w:val="13"/>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2,637,148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2,786,009</w:t>
            </w: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Current portion of debt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2,537,148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2,686,009</w:t>
            </w:r>
            <w:r>
              <w:rPr>
                <w:color w:val="000000"/>
              </w:rPr>
              <w:t>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As of April 3, 2026 and December 31, 2025, the senior notes maturing in 2026 were classified as current portion of debt in the condensed consolidated balance sheets.</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The Term Loan Facilities (as defined below) were issued in connection with the financing of the Repurchase, as further discussed above.</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The 2029 Senior Bonds were issued at 99.843% of par.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The Company’s revolving credit facility has an aggregate maximum borrowing capacity of $500 million. The Company currently believes all banks participating in the revolving credit facility have the ability to and will meet any funding requests from the Company.</w:t>
      </w:r>
    </w:p>
    <w:p>
      <w:pPr>
        <w:pStyle w:val="TextBody"/>
        <w:bidi w:val="0"/>
        <w:spacing w:lineRule="auto" w:line="288" w:before="0" w:after="0"/>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The 2034 Senior Bonds were issued at 99.893% of par.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entered into the Bridge Facility, dated as of November 7, 2025, providing for a 364-day senior unsecured bridge term loan facility in the aggregate principal amount of $1.20 billion to fund the Repurchase. Also on November 7, 2025, the Company borrowed $1.20 billion under the Bridge Facility, the full amount available under the Bridge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8, 2025, the Company entered into a term loan agreement, providing for (i) the Three-Year Term Loan Facility, a senior unsecured term loan facility in the aggregate principal amount of up to $900 million, maturing on December 8, 2028 and (ii) the Five-Year Term Loan Facility, a senior unsecured term loan facility in the aggregate principal amount of up to $450 million, maturing on December 6, 2030 (collectively, the “Term Loan Facilities”). Also on December 8, 2025, the Company borrowed $1.35 billion under the Term Loan Facilities, the full amount available under the Term Loan Facilities. In conjunction with the borrowings under the Term Loan Facilities, the Company modified and extinguished the Bridge Facility discussed above, fully repaying the $1.20 billion outstanding under the Bridge Facility through a net cash settlement with the lender. On February 9, 2026, the Company repaid $150 million of the $450 million aggregate principal balance outstanding under the Five-Year Term Loan Facility using cash on hand, bringing the aggregate principal balance outstanding to $300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Subsequent to the end of the first quarter of 2026, on April 9, 2026, the Company repaid $75 million of the $300 million aggregate principal balance outstanding under the Five-Year Term Loan Facility using cash on hand, bringing the aggregate principal balance outstanding to $225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indenture under which the 2029 Senior Bonds and the 2034 Senior Bonds were issued does not include financial covenants, but does limit the incurrence of certain liens and encumbrances as well as indebtedness by the Company’s subsidiaries in excess of certain amounts. The agreements under which the Company’s nonpublic debt, including its revolving credit facility and the Term Loan Facilities, was issued include two financial covenants: a consolidated cash flow/fixed charges ratio and a consolidated funded indebtedness/cash flow ratio (each as defined in the respective agreement). The Company was in compliance with these covenants as of April 3, 2026. These covenants have not restricted the Company’s liquidity or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12, 2026, the Company entered into three $150 million fixed rate swap agreements, maturing on February 8, 2027, August 8, 2027 and February 8, 2028 to hedge a portion of the interest rate risk on the Three-Year Term Loan Facility and the Five-Year Term Loan Facility. Over the next 12 months, the Company expects approximately $1 million related to these interest rate swaps to be released from accumulated other comprehensive income (loss). These interest rate swaps are designated as cash flow hedging instruments and changes in their fair values are not expected to be material to the condensed consolidated balance sheets. Changes in the fair values of these interest rate swaps were classified as accumulated other comprehensive income (loss) on the condensed consolidated balance sheets and included in the condensed consolidated statements of comprehensive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outstanding debt has been issued by the Company and none has been issued by any of its subsidiaries. There are no guarantees of the Company’s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credit ratings are reviewed periodically by certain nationally recognized rating agencies. Changes in the Company’s operating results or financial position could result in changes in the Company’s credit ratings. Lower credit ratings could result in higher borrowing costs for the Company or reduced access to capital markets, which could have a material adverse impact on the Company’s operating results or financial position. As of April 3, 2026, the Company’s credit ratings and outlook for its debt were as follows:</w:t>
      </w:r>
    </w:p>
    <w:p>
      <w:pPr>
        <w:pStyle w:val="TextBody"/>
        <w:bidi w:val="0"/>
        <w:spacing w:before="0" w:after="0"/>
        <w:jc w:val="left"/>
        <w:rPr/>
      </w:pPr>
      <w:r>
        <w:rPr/>
      </w:r>
    </w:p>
    <w:tbl>
      <w:tblPr>
        <w:tblW w:w="4957" w:type="dxa"/>
        <w:jc w:val="left"/>
        <w:tblInd w:w="0" w:type="dxa"/>
        <w:tblLayout w:type="fixed"/>
        <w:tblCellMar>
          <w:top w:w="28" w:type="dxa"/>
          <w:left w:w="28" w:type="dxa"/>
          <w:bottom w:w="28" w:type="dxa"/>
          <w:right w:w="28" w:type="dxa"/>
        </w:tblCellMar>
      </w:tblPr>
      <w:tblGrid>
        <w:gridCol w:w="576"/>
        <w:gridCol w:w="505"/>
        <w:gridCol w:w="509"/>
        <w:gridCol w:w="109"/>
        <w:gridCol w:w="109"/>
        <w:gridCol w:w="109"/>
        <w:gridCol w:w="419"/>
        <w:gridCol w:w="419"/>
        <w:gridCol w:w="421"/>
        <w:gridCol w:w="109"/>
        <w:gridCol w:w="109"/>
        <w:gridCol w:w="109"/>
        <w:gridCol w:w="425"/>
        <w:gridCol w:w="425"/>
        <w:gridCol w:w="604"/>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Credit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Rating Outlook</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Moody’s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Baa1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Stable</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Standard &amp; Poor’s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Negative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Board of Directors has declared, and the Company has paid, dividends on the Common Stock and the Class B Common Stock and each class of common stock has participated equally in all dividends declared by the Board of Directors and paid by the Company for more than 30 years. The amount and frequency of future dividends will be determined by the Company’s Board of Directors in light of the earnings and financial condition of the Company at such time, and no assurance can be given that dividends will be declared or paid in the future.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review supplier terms and conditions on an ongoing basis, and we have negotiated payment term extensions in recent years in connection with our efforts to improve cash flow and working capital. Separate from those term extension actions, the Company has an agreement with a third-party financial institution to facilitate a supply chain finance program (the “SCF program”), which allows qualifying suppliers to sell their receivables from the Company to the financial institution in order to negotiate shorter payment terms on their outstanding receivable arrangements. The Company’s obligations to its suppliers, including amounts due and scheduled payment terms, are not impacted by a supplier’s participation in the SCF program. See Note 12 to the condensed consolidated financial statements for additional information related to the SCF program.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only Level 3 asset or liability is the acquisition related contingent consideration liability. There were no transfers of assets or liabilities from Level 1 or Level 2 in any period presented. Fair value adjustments were non-cash and, therefore, did not impact the Company’s liquidity or capital resources. Following is a summary of the Level 3 activity:</w:t>
      </w:r>
    </w:p>
    <w:p>
      <w:pPr>
        <w:pStyle w:val="TextBody"/>
        <w:bidi w:val="0"/>
        <w:spacing w:before="0" w:after="0"/>
        <w:jc w:val="left"/>
        <w:rPr/>
      </w:pPr>
      <w:r>
        <w:rPr/>
      </w:r>
    </w:p>
    <w:tbl>
      <w:tblPr>
        <w:tblW w:w="8212" w:type="dxa"/>
        <w:jc w:val="left"/>
        <w:tblInd w:w="0" w:type="dxa"/>
        <w:tblLayout w:type="fixed"/>
        <w:tblCellMar>
          <w:top w:w="28" w:type="dxa"/>
          <w:left w:w="28" w:type="dxa"/>
          <w:bottom w:w="28" w:type="dxa"/>
          <w:right w:w="28" w:type="dxa"/>
        </w:tblCellMar>
      </w:tblPr>
      <w:tblGrid>
        <w:gridCol w:w="1721"/>
        <w:gridCol w:w="1511"/>
        <w:gridCol w:w="1523"/>
        <w:gridCol w:w="109"/>
        <w:gridCol w:w="109"/>
        <w:gridCol w:w="109"/>
        <w:gridCol w:w="211"/>
        <w:gridCol w:w="841"/>
        <w:gridCol w:w="109"/>
        <w:gridCol w:w="109"/>
        <w:gridCol w:w="109"/>
        <w:gridCol w:w="109"/>
        <w:gridCol w:w="211"/>
        <w:gridCol w:w="841"/>
        <w:gridCol w:w="109"/>
        <w:gridCol w:w="109"/>
        <w:gridCol w:w="109"/>
        <w:gridCol w:w="109"/>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 - Level 3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717,908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654,191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current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balance - Level 3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753,029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681,800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Cash Sources and Uses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cash-based activity is as follows:</w:t>
      </w:r>
    </w:p>
    <w:p>
      <w:pPr>
        <w:pStyle w:val="TextBody"/>
        <w:bidi w:val="0"/>
        <w:spacing w:before="0" w:after="0"/>
        <w:jc w:val="left"/>
        <w:rPr/>
      </w:pPr>
      <w:r>
        <w:rPr/>
      </w:r>
    </w:p>
    <w:tbl>
      <w:tblPr>
        <w:tblW w:w="8706" w:type="dxa"/>
        <w:jc w:val="left"/>
        <w:tblInd w:w="0" w:type="dxa"/>
        <w:tblLayout w:type="fixed"/>
        <w:tblCellMar>
          <w:top w:w="28" w:type="dxa"/>
          <w:left w:w="28" w:type="dxa"/>
          <w:bottom w:w="28" w:type="dxa"/>
          <w:right w:w="28" w:type="dxa"/>
        </w:tblCellMar>
      </w:tblPr>
      <w:tblGrid>
        <w:gridCol w:w="2057"/>
        <w:gridCol w:w="1812"/>
        <w:gridCol w:w="1816"/>
        <w:gridCol w:w="109"/>
        <w:gridCol w:w="109"/>
        <w:gridCol w:w="109"/>
        <w:gridCol w:w="211"/>
        <w:gridCol w:w="841"/>
        <w:gridCol w:w="109"/>
        <w:gridCol w:w="109"/>
        <w:gridCol w:w="109"/>
        <w:gridCol w:w="109"/>
        <w:gridCol w:w="211"/>
        <w:gridCol w:w="841"/>
        <w:gridCol w:w="154"/>
      </w:tblGrid>
      <w:tr>
        <w:trPr/>
        <w:tc>
          <w:tcPr>
            <w:tcW w:w="2057"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Sources: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cash provided by operating activities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disposal of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sources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205,386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311,083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Uses: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equity method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uses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254,357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295,102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increase in cash and cash equivalents during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(48,971)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15,981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(1)</w:t>
      </w:r>
      <w:r>
        <w:rPr>
          <w:rFonts w:ascii="Times New Roman;serif" w:hAnsi="Times New Roman;serif"/>
          <w:b w:val="false"/>
          <w:color w:val="000000"/>
          <w:sz w:val="20"/>
        </w:rPr>
        <w:t>Net cash provided by operating activities in the first quarter of 2026 included net income tax payments of $2.0 million and net interest payments of $18.3 million. Net cash provided by operating activities in the first quarter of 2025 included net income tax payments of $1.9 million and net interest payments of $2.5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Cash Flows from Operating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2026, cash provided by operating activities was $205.3 million, which was an increase of $7.1 million as compared to the first quarter of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Cash Flows from 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2026, cash used in investing activities was $68.3 million, which was a decrease of $71.4 million as compared to the first quarter of 2025. The decline in cash used in investing activities was primarily a result of the disposal of short-term investments during 2025. There were no purchases of short-term investments in the first quarter of 2026 compared to purchases of short-term investments of $150.2 million in the first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 were $63.1 million during the first quarter of 2026 and $97.9 million during the first quarter of 2025. There were $44.4 million and $28.0 million of additions to property, plant and equipment accrued in accounts payable, trade as of April 3, 2026 and March 28,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additions to property, plant and equipment reflect the Company’s focus on optimizing its supply chain and investing for future growth. The Company anticipates additions to property, plant and equipment in 2026 will be approximately $300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Cash Flows from Financing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2026, cash used in financing activities was $185.9 million, which was an increase of $143 million as compared to the first quarter of 2025. The increase in cash used in financing activities was primarily driven by the repayment of $150 million of the $450 million aggregate principal balance outstanding under the Five-Year Term Loan Facility.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had cash payments for acquisition related contingent consideration of $19.1 million during the first quarter of 2026 and $19.8 million during the first quarter of 2025. For the next five future years, the Company anticipates that the amount it could pay annually under the acquisition related contingent consideration arrangements for the distribution territories subject to acquisition related sub-bottling payments will be in the range of approximately $50 million to $65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Commodity Hedging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commodity derivative instruments, where practicable, to manage its exposure to fluctuations in certain commodity prices. Fees paid by the Company for commodity derivative instruments are amortized over the corresponding period of each instrument. The Company accounts for its commodity derivative instruments on a mark-to-market basis with any expense or income being reflected as an adjustment to cost of sales or SD&amp;A expenses, consistent with the expense classification of the underlying hedged item.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several different financial institutions for commodity derivative instruments to minimize the concentration of credit risk. The Company has master agreements with the counterparties to its commodity derivative instruments that provide for net settlement of derivative transactions. The net impact of the commodity derivative instruments on the condensed consolidated statements of operations was as follows:</w:t>
      </w:r>
    </w:p>
    <w:p>
      <w:pPr>
        <w:pStyle w:val="TextBody"/>
        <w:bidi w:val="0"/>
        <w:spacing w:before="0" w:after="0"/>
        <w:jc w:val="left"/>
        <w:rPr/>
      </w:pPr>
      <w:r>
        <w:rPr/>
      </w:r>
    </w:p>
    <w:tbl>
      <w:tblPr>
        <w:tblW w:w="6427" w:type="dxa"/>
        <w:jc w:val="left"/>
        <w:tblInd w:w="0" w:type="dxa"/>
        <w:tblLayout w:type="fixed"/>
        <w:tblCellMar>
          <w:top w:w="28" w:type="dxa"/>
          <w:left w:w="28" w:type="dxa"/>
          <w:bottom w:w="28" w:type="dxa"/>
          <w:right w:w="28" w:type="dxa"/>
        </w:tblCellMar>
      </w:tblPr>
      <w:tblGrid>
        <w:gridCol w:w="1168"/>
        <w:gridCol w:w="1027"/>
        <w:gridCol w:w="1030"/>
        <w:gridCol w:w="109"/>
        <w:gridCol w:w="109"/>
        <w:gridCol w:w="109"/>
        <w:gridCol w:w="211"/>
        <w:gridCol w:w="796"/>
        <w:gridCol w:w="109"/>
        <w:gridCol w:w="109"/>
        <w:gridCol w:w="109"/>
        <w:gridCol w:w="109"/>
        <w:gridCol w:w="211"/>
        <w:gridCol w:w="631"/>
        <w:gridCol w:w="109"/>
        <w:gridCol w:w="109"/>
        <w:gridCol w:w="109"/>
        <w:gridCol w:w="109"/>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cost of sales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SD&amp;A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impact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(16,265)</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1,060</w:t>
            </w:r>
            <w:r>
              <w:rPr>
                <w:color w:val="000000"/>
              </w:rPr>
              <w:t>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Cautionary Note Regarding Forward-Looking Statements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Certain statements made in this report, or in other public filings, press releases, or other written or oral communications made by the Company, which are not historical facts, are forward-looking statements subject to the safe harbor provisions of the Private Securities Litigation Reform Act of 1995. These forward-looking statements involve risks and uncertainties which we expect will or may occur in the future and may impact our business, financial condition and results of operations. The words “anticipate,” “believe,” “expect,” “intend,” “project,” “may,” “will,” “should,” “could” and similar expressions are intended to identify those forward-looking statements. </w:t>
      </w:r>
      <w:r>
        <w:rPr>
          <w:rFonts w:ascii="Times New Roman;serif" w:hAnsi="Times New Roman;serif"/>
          <w:b w:val="false"/>
          <w:color w:val="000000"/>
          <w:sz w:val="20"/>
        </w:rPr>
        <w:t xml:space="preserve">These forward-looking statements reflect the Company’s best judgment based on current information, and, although we base these statements on circumstances that we believe to be reasonable when made, there can be no assurance that future events will not affect the accuracy of such forward-looking information. As such, the forward-looking statements are not guarantees of future performance, and actual results may vary materially from the projected results and expectations discussed in this report. Factors that might cause the Company’s actual results to differ materially from those anticipated in forward-looking statements include, but are not limited to: increased costs (including due to inflation or uncertainty around tariffs) or disruption, unavailability or shortages of raw materials, fuel and other supplies; the reliance on purchased finished products from external sources; changes in public and consumer perception and preferences, including concerns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to product safety and sustainability, artificial ingredients, brand reputation and obesity; changes in government regulations related to nonalcoholic beverages, including regulations related to obesity, public health, artificial ingredients, recycling, sustainability, product safety and benefit programs, including SNAP; decreases from historic levels of marketing funding support provided to us by The Coca</w:t>
        <w:noBreakHyphen/>
        <w:t>Cola Company and other beverage companies; material changes in the performance requirements for marketing funding support or our inability to meet such requirements; decreases from historic levels of advertising, marketing and product innovation spending by The Coca</w:t>
        <w:noBreakHyphen/>
        <w:t>Cola Company</w:t>
      </w:r>
      <w:r>
        <w:rPr>
          <w:color w:val="000000"/>
          <w:shd w:fill="FFFFFF" w:val="clear"/>
        </w:rPr>
        <w:t xml:space="preserve"> </w:t>
      </w:r>
      <w:r>
        <w:rPr>
          <w:rFonts w:ascii="Times New Roman;serif" w:hAnsi="Times New Roman;serif"/>
          <w:b w:val="false"/>
          <w:color w:val="000000"/>
          <w:sz w:val="20"/>
          <w:shd w:fill="FFFFFF" w:val="clear"/>
        </w:rPr>
        <w:t>and other beverage companies, or advertising campaigns that are negatively perceived by the public;</w:t>
      </w:r>
      <w:r>
        <w:rPr>
          <w:color w:val="000000"/>
        </w:rPr>
        <w:t xml:space="preserve"> </w:t>
      </w:r>
      <w:r>
        <w:rPr>
          <w:rFonts w:ascii="Times New Roman;serif" w:hAnsi="Times New Roman;serif"/>
          <w:b w:val="false"/>
          <w:color w:val="000000"/>
          <w:sz w:val="20"/>
        </w:rPr>
        <w:t>any failure of the several Coca</w:t>
        <w:noBreakHyphen/>
        <w:t>Cola system governance entities of which we are a participant to function efficiently or in our best interest and any failure or delay of ours to receive anticipated benefits from these governance entities; provisions in our beverage distribution and manufacturing agreements with The Coca</w:t>
        <w:noBreakHyphen/>
        <w:t>Cola Company that could delay or prevent a change in control of us or a sale of our Coca</w:t>
        <w:noBreakHyphen/>
        <w:t>Cola distribution or manufacturing businesses; the concentration of our capital stock ownership; our inability to meet requirements under our beverage distribution and manufacturing agreements; changes in the inputs used to calculate our acquisition related contingent consideration liability; technology failures or cyberattacks on our information technology systems or our effective response to technology failures or cyberattacks on our third-party service providers’, business partners’, customers’, suppliers’ or other third parties’ information technology systems; unfavorable changes in the general economy; changes in trade policies, including the imposition of, or increase in, tariffs on imported goods; the concentration risks among our customers and suppliers; lower than expected net pricing of our products resulting from continued and increased customer and competitor consolidations and marketplace competition; the effect of changes in our level of debt, borrowing costs and credit ratings on our access to capital and credit markets, operating flexibility and ability to obtain additional financing to fund future needs; the failure to attract, train and retain qualified employees while controlling labor costs and other labor issues; the failure to maintain productive relationships with our employees covered by collective bargaining agreements, including failing to renegotiate collective bargaining agreements; changes in accounting standards; our use of estimates and assumptions; changes in tax laws, disagreements with tax authorities or additional tax liabilities; changes in legal contingencies; natural disasters, changing weather patterns and unfavorable weather, or the increased frequency of any such events due to climate change, and public expectations around combatting climate change or legislative or regulatory responses to such change; and the risks discussed in “Item 1A. Risk Factors” of the Company’s Annual Report on Form 10-K for 2025 and elsewhere in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Caution should be taken not to place undue reliance on the forward-looking statements included in this report. The Company assumes no obligation to update any forward-looking statements, except as may be required by law. In evaluating forward-looking statements, these risks and uncertainties should be considered, together with the other risks described from time to time in the Company’s reports and other filings with the United States Securities and Exchange Commission.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subject to interest rate volatility with regard to existing issuances of debt, including its revolving credit facility and the Term Loan Facilities. The Company had outstanding borrowings under the Term Loan Facilities in the first quarter of 2026 totaling $1.20 billion. Based on the Company’s variable rate debt and fixed rate interest rate swaps outstanding as of April 3, 2026, we estimate a 1% increase in interest rates would increase annual interest expense by $7.8 million. As of December 31, 2025, the Company had outstanding borrowings under the Term Loan Facilities totaling $1.35 billion and estimated a 1% increase in interest rates would increase annual interest expense by $13.5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acquisition related contingent consideration liability, which is adjusted to fair value each reporting period, is also impacted by changes in interest rates. The risk-free interest rate used to estimate the Company’s WACC is a component of the discount rate used to calculate the present value of future expected acquisition related sub-bottling payments due under the Company’s comprehensive beverage agreements. As a result, any changes in the underlying risk-free interest rate could result in material changes to the fair value of the acquisition related contingent consideration liability and could materially impact the amount of non-cash expense (or income) recorded each reporting period. The Company estimates a 10-basis point change in the underlying risk-free interest rate used to estimate the Company’s WACC would result in a change of approximately $7 million to the Company’s acquisition related contingent consideration liability.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exposed to certain market risks and commodity price risk that arise in the ordinary course of business. The Company may enter into commodity derivative instruments to manage or reduce market risk. The Company does not use commodity derivative instruments for trading or speculative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also subject to commodity price risk arising from price movements for certain commodities included as part of its input costs, which predominately relate to our Sparkling products. The Company estimates a 10% increase in the market prices of its key commodities, including aluminum, PET resin and high-fructose corn syrup, and excluding concentrate, over the current market prices would cumulatively increase costs during the next 12 months by approximately $35 million to $45 million assuming no change in volume.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manages its commodity price risk in some cases by entering into contracts with adjustable prices to hedge commodity purchases, including portions of our aluminum input costs and fuel expenses related to our selling and distribution activities. The Company periodically uses commodity derivative instruments in the management of this risk, and estimates a 10% decrease in the underlying commodity prices would have decreased the fair value of our commodity derivative instruments by approximately $10 million as of April 3,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Fees paid by the Company for agreements to hedge commodity purchases are amortized over the corresponding period of each agreement. The Company accounts for its commodity derivative instruments on a mark-to-market basis with any expense or income being reflected as an adjustment to cost of sales or SD&amp;A expenses, consistent with the expense classification of the underlying hedged item.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rate of inflation in the United States, as measured by year-over-year changes in the Consumer Price Index, was 3.3% in March 2026, as compared to 2.7% in December 2025 and 2.9% in December 2024. Inflation in the prices of those commodities important to the Company’s business is reflected in changes in the Consumer Price Index.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principal effect of inflation in both commodity and consumer prices on the Company’s operating results is to increase both cost of goods sold and SD&amp;A expenses. Although the Company can offset these cost increases by increasing selling prices for its products, consumers may not have the buying power to cover these increased costs and may reduce their volume of purchases of those products. In that event, selling price increases may not be sufficient to offset completely the Company’s cost increases.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defined in Rule 13a-15(e) of the Securities Exchange Act of 1934, as amended (the “Exchange Act”)) pursuant to Rule 13a-15(b) of the Exchange Act. Based upon that evaluation, the Chief Executive Officer and the Chief Financial Officer concluded that the Company’s disclosure controls and procedures were effective as of April 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has been no change in the Company’s internal control over financial reporting during the quarter ended April 3, 2026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claims and legal proceedings which have arisen in the ordinary course of its business. Although it is difficult to predict the ultimate outcome of these claims and legal proceedings, management believes the ultimate disposition of these matters will not have a material adverse effect on the financial condition, results of operations or cash flows of the Company. No material amount of loss in excess of recorded amounts is believed to be reasonably possible as a result of these claims and legal proceedings.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Company’s risk factors from those disclosed in “Item 1A. Risk Factors” of the Company’s Annual Report on Form 10</w:t>
        <w:noBreakHyphen/>
        <w:t>K for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Insider Trading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quarter ended April 3, 2026, none of our directors or officers (as defined in Rule 16a-1(f) of the Exchange Act) adopted, modified or terminated a “Rule 10b5-1 trading arrangement” or a “non-Rule 10b5-1 trading arrangement” (each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83"/>
        <w:gridCol w:w="249"/>
        <w:gridCol w:w="250"/>
        <w:gridCol w:w="109"/>
        <w:gridCol w:w="109"/>
        <w:gridCol w:w="109"/>
        <w:gridCol w:w="1808"/>
        <w:gridCol w:w="1689"/>
        <w:gridCol w:w="1706"/>
        <w:gridCol w:w="109"/>
        <w:gridCol w:w="109"/>
        <w:gridCol w:w="109"/>
        <w:gridCol w:w="1041"/>
        <w:gridCol w:w="1041"/>
        <w:gridCol w:w="1484"/>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Incorporated by Reference or</w:t>
              <w:br/>
              <w:t>Filed/Furnished Herewith</w:t>
            </w:r>
          </w:p>
        </w:tc>
      </w:tr>
      <w:tr>
        <w:trPr/>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Restated Certificate of Incorporation of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3.1 to the Company’s Quarterly Report on Form 10-Q for the quarter ended July 2, 2017 (File No. 0-9286).</w:t>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Certificate of Amendment to Restated Certificate of Incorporation of the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3.1 to the Company’s Current Report on Form 8-K filed on January 2, 2019 (File No. 0-9286).</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Certificate of Amendment to Restated Certificate of Incorporation of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3.3 to the Company’s Quarterly Report on Form 10-Q for the quarter ended June 30, 2023 (File No. 0-9286).</w:t>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Certificate of Amendment to Restated Certificate of Incorporation of the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Exhibit 3.1 to the Company’s Current Report on Form 8-K filed on May 16, 2025 (File No. 0-9286). </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Amended and Restated By-laws of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3.2 to the Company’s Current Report on Form 8-K filed on January 2, 2019 (File No. 0-9286).</w:t>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coke-2026q1x10qxexx311.htm">
              <w:r>
                <w:rPr>
                  <w:rStyle w:val="InternetLink"/>
                  <w:rFonts w:ascii="Times New Roman;serif" w:hAnsi="Times New Roman;serif"/>
                  <w:b w:val="false"/>
                  <w:color w:val="0000FF"/>
                  <w:sz w:val="20"/>
                  <w:u w:val="single"/>
                </w:rPr>
                <w:t>Certification of Principal Executive Officer pursuant to Rule 13a-14(a)/15d-14(a),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coke-2026q1x10qxexx312.htm">
              <w:r>
                <w:rPr>
                  <w:rStyle w:val="InternetLink"/>
                  <w:rFonts w:ascii="Times New Roman;serif" w:hAnsi="Times New Roman;serif"/>
                  <w:b w:val="false"/>
                  <w:color w:val="0000FF"/>
                  <w:sz w:val="20"/>
                  <w:u w:val="single"/>
                </w:rPr>
                <w:t>Certification of Principal Financial Officer pursuant to Rule 13a-14(a)/15d-14(a),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coke-2026q1x10qxexx32.htm">
              <w:r>
                <w:rPr>
                  <w:rStyle w:val="InternetLink"/>
                  <w:rFonts w:ascii="Times New Roman;serif" w:hAnsi="Times New Roman;serif"/>
                  <w:b w:val="false"/>
                  <w:color w:val="0000FF"/>
                  <w:sz w:val="20"/>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Furnished herewith. </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493"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1305"/>
        <w:gridCol w:w="1305"/>
        <w:gridCol w:w="1845"/>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COCA-COLA CONSOLIDATED, INC.</w:t>
              <w:br/>
              <w:t>(REGISTRANT)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Matthew J. Blickley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J. Blickley</w:t>
              <w:br/>
              <w:t>Chief Financial Officer and Chief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 Frank Harrison, III, certify that:</w: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Coca-Cola Consolidated, Inc.;</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left"/>
        <w:rPr/>
      </w:pPr>
      <w:r>
        <w:rPr/>
      </w:r>
    </w:p>
    <w:p>
      <w:pPr>
        <w:pStyle w:val="TextBody"/>
        <w:bidi w:val="0"/>
        <w:spacing w:before="0" w:after="0"/>
        <w:ind w:left="0" w:right="0" w:hanging="1080"/>
        <w:jc w:val="left"/>
        <w:rPr/>
      </w:pPr>
      <w:r>
        <w:rPr/>
      </w:r>
    </w:p>
    <w:tbl>
      <w:tblPr>
        <w:tblW w:w="5274" w:type="dxa"/>
        <w:jc w:val="left"/>
        <w:tblInd w:w="0" w:type="dxa"/>
        <w:tblLayout w:type="fixed"/>
        <w:tblCellMar>
          <w:top w:w="28" w:type="dxa"/>
          <w:left w:w="28" w:type="dxa"/>
          <w:bottom w:w="28" w:type="dxa"/>
          <w:right w:w="28" w:type="dxa"/>
        </w:tblCellMar>
      </w:tblPr>
      <w:tblGrid>
        <w:gridCol w:w="124"/>
        <w:gridCol w:w="109"/>
        <w:gridCol w:w="109"/>
        <w:gridCol w:w="539"/>
        <w:gridCol w:w="539"/>
        <w:gridCol w:w="542"/>
        <w:gridCol w:w="979"/>
        <w:gridCol w:w="979"/>
        <w:gridCol w:w="98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Frank Harrison,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 Frank Harrison, III </w:t>
              <w:br/>
              <w:t>Chairman of the Board of Directors</w:t>
              <w:br/>
              <w:t>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Matthew J. Blickley, certify that:</w: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Coca-Cola Consolidated, Inc.;</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72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tbl>
      <w:tblPr>
        <w:tblW w:w="6417" w:type="dxa"/>
        <w:jc w:val="left"/>
        <w:tblInd w:w="0" w:type="dxa"/>
        <w:tblLayout w:type="fixed"/>
        <w:tblCellMar>
          <w:top w:w="28" w:type="dxa"/>
          <w:left w:w="28" w:type="dxa"/>
          <w:bottom w:w="28" w:type="dxa"/>
          <w:right w:w="28" w:type="dxa"/>
        </w:tblCellMar>
      </w:tblPr>
      <w:tblGrid>
        <w:gridCol w:w="124"/>
        <w:gridCol w:w="109"/>
        <w:gridCol w:w="109"/>
        <w:gridCol w:w="539"/>
        <w:gridCol w:w="539"/>
        <w:gridCol w:w="542"/>
        <w:gridCol w:w="1301"/>
        <w:gridCol w:w="1301"/>
        <w:gridCol w:w="18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 Blickley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Blickley</w:t>
              <w:br/>
              <w:t>Chief Financial Officer and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Coca-Cola Consolidated, Inc. (the “Company”) for the quarter ended April 3, 2026, as filed with the United States Securities and Exchange Commission on the date hereof (the “Report”), we, J. Frank Harrison, III, Chairman of the Board of Directors and Chief Executive Officer of the Company, and Matthew J. Blickley, Chief Financial Officer and Chief Accounting Officer of the Company,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hanging="720"/>
        <w:jc w:val="left"/>
        <w:rPr/>
      </w:pPr>
      <w:r>
        <w:rPr/>
      </w:r>
    </w:p>
    <w:tbl>
      <w:tblPr>
        <w:tblW w:w="3672" w:type="dxa"/>
        <w:jc w:val="left"/>
        <w:tblInd w:w="0" w:type="dxa"/>
        <w:tblLayout w:type="fixed"/>
        <w:tblCellMar>
          <w:top w:w="28" w:type="dxa"/>
          <w:left w:w="28" w:type="dxa"/>
          <w:bottom w:w="28" w:type="dxa"/>
          <w:right w:w="28" w:type="dxa"/>
        </w:tblCellMar>
      </w:tblPr>
      <w:tblGrid>
        <w:gridCol w:w="1195"/>
        <w:gridCol w:w="1049"/>
        <w:gridCol w:w="1056"/>
        <w:gridCol w:w="109"/>
        <w:gridCol w:w="109"/>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Frank Harrison,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Frank Harrison, III</w:t>
              <w:br/>
              <w:t>Chairman of the Board of Directors and</w:t>
              <w:b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796" w:type="dxa"/>
        <w:jc w:val="left"/>
        <w:tblInd w:w="0" w:type="dxa"/>
        <w:tblLayout w:type="fixed"/>
        <w:tblCellMar>
          <w:top w:w="28" w:type="dxa"/>
          <w:left w:w="28" w:type="dxa"/>
          <w:bottom w:w="28" w:type="dxa"/>
          <w:right w:w="28" w:type="dxa"/>
        </w:tblCellMar>
      </w:tblPr>
      <w:tblGrid>
        <w:gridCol w:w="1602"/>
        <w:gridCol w:w="1409"/>
        <w:gridCol w:w="1413"/>
        <w:gridCol w:w="109"/>
        <w:gridCol w:w="109"/>
        <w:gridCol w:w="154"/>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 Blickley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Blickley</w:t>
              <w:br/>
              <w:t>Chief Financial Officer and Chief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17540/000156459017016586/coke-ex31_322.htm" TargetMode="External"/><Relationship Id="rId3" Type="http://schemas.openxmlformats.org/officeDocument/2006/relationships/hyperlink" Target="https://www.sec.gov/Archives/edgar/data/317540/000119312519000734/d668179dex31.htm" TargetMode="External"/><Relationship Id="rId4" Type="http://schemas.openxmlformats.org/officeDocument/2006/relationships/hyperlink" Target="https://www.sec.gov/Archives/edgar/data/317540/000031754023000041/coke-2023q2x10qxexx33.htm" TargetMode="External"/><Relationship Id="rId5" Type="http://schemas.openxmlformats.org/officeDocument/2006/relationships/hyperlink" Target="https://www.sec.gov/Archives/edgar/data/317540/000031754025000062/ccci-certificateofamendmen.htm" TargetMode="External"/><Relationship Id="rId6" Type="http://schemas.openxmlformats.org/officeDocument/2006/relationships/hyperlink" Target="https://www.sec.gov/Archives/edgar/data/317540/000119312519000734/d668179dex3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23261</Words>
  <Characters>131286</Characters>
  <CharactersWithSpaces>152837</CharactersWithSpaces>
  <Paragraphs>3095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