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Coca-Cola Consolidated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191098102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191098102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432,126.00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5,811,984.00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5,811,984.00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80"/>
          </w:cols>
          <w:pgMar w:left="320" w:top="166" w:right="439" w:bottom="0" w:gutter="0" w:footer="0" w:header="0"/>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As of that date, The Vanguard Group, Inc. no longer performs portfolio management services or administers proxy voting. In accordance with SEC Release No. 34-39538 (January 12, 1998), The Vanguard Group, Inc. anticipates that certain subsidiaries or business divisions of subsidiaries of The Vanguard Group, Inc., that currently have, or are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Coca-Cola Consolidated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4100 Coca-Cola Plaza, Charlotte, NC, 28211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191098102</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44"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ectPr>
          <w:pgSz w:w="11900" w:h="16838" w:orient="portrait"/>
          <w:cols w:equalWidth="0" w:num="1">
            <w:col w:w="11140"/>
          </w:cols>
          <w:pgMar w:left="320" w:top="166" w:right="439" w:bottom="0" w:gutter="0" w:footer="0" w:header="0"/>
          <w:type w:val="continuous"/>
        </w:sectPr>
      </w:pPr>
    </w:p>
    <w:bookmarkStart w:id="2" w:name="page3"/>
    <w:bookmarkEnd w:id="2"/>
    <w:p>
      <w:pPr>
        <w:spacing w:after="0" w:line="35"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5811984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10.28 %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432126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5811984</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74"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03/05/2026</w:t>
      </w:r>
    </w:p>
    <w:sectPr>
      <w:pgSz w:w="11900" w:h="16838" w:orient="portrait"/>
      <w:cols w:equalWidth="0" w:num="1">
        <w:col w:w="10920"/>
      </w:cols>
      <w:pgMar w:left="580" w:top="13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2026-03-05T12:25:41Z</dcterms:created>
  <dcterms:modified xsi:type="dcterms:W3CDTF">2026-03-05T12:25:41Z</dcterms:modified>
</cp:coreProperties>
</file>