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65"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903605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929005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jc w:val="center"/>
        <w:ind w:right="-17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52"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9"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2919730</wp:posOffset>
            </wp:positionH>
            <wp:positionV relativeFrom="paragraph">
              <wp:posOffset>51435</wp:posOffset>
            </wp:positionV>
            <wp:extent cx="131127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311275" cy="8890"/>
                    </a:xfrm>
                    <a:prstGeom prst="rect">
                      <a:avLst/>
                    </a:prstGeom>
                    <a:noFill/>
                  </pic:spPr>
                </pic:pic>
              </a:graphicData>
            </a:graphic>
          </wp:anchor>
        </w:drawing>
      </w:r>
    </w:p>
    <w:p>
      <w:pPr>
        <w:spacing w:after="0" w:line="135"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2919730</wp:posOffset>
            </wp:positionH>
            <wp:positionV relativeFrom="paragraph">
              <wp:posOffset>87630</wp:posOffset>
            </wp:positionV>
            <wp:extent cx="131127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311275" cy="8255"/>
                    </a:xfrm>
                    <a:prstGeom prst="rect">
                      <a:avLst/>
                    </a:prstGeom>
                    <a:noFill/>
                  </pic:spPr>
                </pic:pic>
              </a:graphicData>
            </a:graphic>
          </wp:anchor>
        </w:drawing>
      </w:r>
    </w:p>
    <w:p>
      <w:pPr>
        <w:spacing w:after="0" w:line="208"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32"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w:t>
      </w:r>
    </w:p>
    <w:p>
      <w:pPr>
        <w:spacing w:after="0" w:line="4"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2"/>
          <w:szCs w:val="22"/>
          <w:b w:val="1"/>
          <w:bCs w:val="1"/>
          <w:color w:val="auto"/>
        </w:rPr>
        <w:t>Securities Exchange Act of 1934</w:t>
      </w:r>
    </w:p>
    <w:p>
      <w:pPr>
        <w:spacing w:after="0" w:line="79"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May 12,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2919730</wp:posOffset>
            </wp:positionH>
            <wp:positionV relativeFrom="paragraph">
              <wp:posOffset>139700</wp:posOffset>
            </wp:positionV>
            <wp:extent cx="13112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311275" cy="8890"/>
                    </a:xfrm>
                    <a:prstGeom prst="rect">
                      <a:avLst/>
                    </a:prstGeom>
                    <a:noFill/>
                  </pic:spPr>
                </pic:pic>
              </a:graphicData>
            </a:graphic>
          </wp:anchor>
        </w:drawing>
      </w:r>
    </w:p>
    <w:p>
      <w:pPr>
        <w:spacing w:after="0" w:line="381"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38"/>
          <w:szCs w:val="38"/>
          <w:b w:val="1"/>
          <w:bCs w:val="1"/>
          <w:color w:val="auto"/>
        </w:rPr>
        <w:t>COCA-COLA CONSOLIDATED, INC.</w:t>
      </w:r>
    </w:p>
    <w:p>
      <w:pPr>
        <w:spacing w:after="0" w:line="46"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2919730</wp:posOffset>
            </wp:positionH>
            <wp:positionV relativeFrom="paragraph">
              <wp:posOffset>158750</wp:posOffset>
            </wp:positionV>
            <wp:extent cx="131127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311275" cy="8255"/>
                    </a:xfrm>
                    <a:prstGeom prst="rect">
                      <a:avLst/>
                    </a:prstGeom>
                    <a:noFill/>
                  </pic:spPr>
                </pic:pic>
              </a:graphicData>
            </a:graphic>
          </wp:anchor>
        </w:drawing>
      </w:r>
    </w:p>
    <w:p>
      <w:pPr>
        <w:spacing w:after="0" w:line="357" w:lineRule="exact"/>
        <w:rPr>
          <w:sz w:val="24"/>
          <w:szCs w:val="24"/>
          <w:color w:val="auto"/>
        </w:rPr>
      </w:pPr>
    </w:p>
    <w:tbl>
      <w:tblPr>
        <w:tblLayout w:type="fixed"/>
        <w:tblInd w:w="940" w:type="dxa"/>
        <w:tblCellMar>
          <w:top w:w="0" w:type="dxa"/>
          <w:left w:w="0" w:type="dxa"/>
          <w:bottom w:w="0" w:type="dxa"/>
          <w:right w:w="0" w:type="dxa"/>
        </w:tblCellMar>
      </w:tblPr>
      <w:tr>
        <w:trPr>
          <w:trHeight w:val="227"/>
        </w:trPr>
        <w:tc>
          <w:tcPr>
            <w:tcW w:w="3380" w:type="dxa"/>
            <w:vAlign w:val="bottom"/>
          </w:tcPr>
          <w:p>
            <w:pPr>
              <w:jc w:val="center"/>
              <w:ind w:right="939"/>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080" w:type="dxa"/>
            <w:vAlign w:val="bottom"/>
          </w:tcPr>
          <w:p>
            <w:pPr>
              <w:jc w:val="center"/>
              <w:ind w:right="182"/>
              <w:spacing w:after="0"/>
              <w:rPr>
                <w:sz w:val="20"/>
                <w:szCs w:val="20"/>
                <w:color w:val="auto"/>
              </w:rPr>
            </w:pPr>
            <w:r>
              <w:rPr>
                <w:rFonts w:ascii="Times New Roman" w:cs="Times New Roman" w:eastAsia="Times New Roman" w:hAnsi="Times New Roman"/>
                <w:sz w:val="18"/>
                <w:szCs w:val="18"/>
                <w:b w:val="1"/>
                <w:bCs w:val="1"/>
                <w:color w:val="auto"/>
                <w:w w:val="97"/>
              </w:rPr>
              <w:t>0-9286</w:t>
            </w:r>
          </w:p>
        </w:tc>
        <w:tc>
          <w:tcPr>
            <w:tcW w:w="2400" w:type="dxa"/>
            <w:vAlign w:val="bottom"/>
          </w:tcPr>
          <w:p>
            <w:pPr>
              <w:jc w:val="right"/>
              <w:ind w:right="61"/>
              <w:spacing w:after="0"/>
              <w:rPr>
                <w:sz w:val="20"/>
                <w:szCs w:val="20"/>
                <w:color w:val="auto"/>
              </w:rPr>
            </w:pPr>
            <w:r>
              <w:rPr>
                <w:rFonts w:ascii="Times New Roman" w:cs="Times New Roman" w:eastAsia="Times New Roman" w:hAnsi="Times New Roman"/>
                <w:sz w:val="18"/>
                <w:szCs w:val="18"/>
                <w:b w:val="1"/>
                <w:bCs w:val="1"/>
                <w:color w:val="auto"/>
              </w:rPr>
              <w:t>56-0950585</w:t>
            </w:r>
          </w:p>
        </w:tc>
        <w:tc>
          <w:tcPr>
            <w:tcW w:w="0" w:type="dxa"/>
            <w:vAlign w:val="bottom"/>
          </w:tcPr>
          <w:p>
            <w:pPr>
              <w:spacing w:after="0"/>
              <w:rPr>
                <w:sz w:val="1"/>
                <w:szCs w:val="1"/>
                <w:color w:val="auto"/>
              </w:rPr>
            </w:pPr>
          </w:p>
        </w:tc>
      </w:tr>
      <w:tr>
        <w:trPr>
          <w:trHeight w:val="149"/>
        </w:trPr>
        <w:tc>
          <w:tcPr>
            <w:tcW w:w="3380" w:type="dxa"/>
            <w:vAlign w:val="bottom"/>
          </w:tcPr>
          <w:p>
            <w:pPr>
              <w:jc w:val="center"/>
              <w:ind w:right="939"/>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3080" w:type="dxa"/>
            <w:vAlign w:val="bottom"/>
          </w:tcPr>
          <w:p>
            <w:pPr>
              <w:jc w:val="center"/>
              <w:ind w:right="202"/>
              <w:spacing w:after="0" w:line="149" w:lineRule="exact"/>
              <w:rPr>
                <w:sz w:val="20"/>
                <w:szCs w:val="20"/>
                <w:color w:val="auto"/>
              </w:rPr>
            </w:pPr>
            <w:r>
              <w:rPr>
                <w:rFonts w:ascii="Times New Roman" w:cs="Times New Roman" w:eastAsia="Times New Roman" w:hAnsi="Times New Roman"/>
                <w:sz w:val="14"/>
                <w:szCs w:val="14"/>
                <w:b w:val="1"/>
                <w:bCs w:val="1"/>
                <w:color w:val="auto"/>
              </w:rPr>
              <w:t>(Commission</w:t>
            </w:r>
          </w:p>
        </w:tc>
        <w:tc>
          <w:tcPr>
            <w:tcW w:w="2400" w:type="dxa"/>
            <w:vAlign w:val="bottom"/>
          </w:tcPr>
          <w:p>
            <w:pPr>
              <w:jc w:val="center"/>
              <w:ind w:left="1181"/>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c>
          <w:tcPr>
            <w:tcW w:w="0" w:type="dxa"/>
            <w:vAlign w:val="bottom"/>
          </w:tcPr>
          <w:p>
            <w:pPr>
              <w:spacing w:after="0"/>
              <w:rPr>
                <w:sz w:val="1"/>
                <w:szCs w:val="1"/>
                <w:color w:val="auto"/>
              </w:rPr>
            </w:pPr>
          </w:p>
        </w:tc>
      </w:tr>
      <w:tr>
        <w:trPr>
          <w:trHeight w:val="190"/>
        </w:trPr>
        <w:tc>
          <w:tcPr>
            <w:tcW w:w="3380" w:type="dxa"/>
            <w:vAlign w:val="bottom"/>
          </w:tcPr>
          <w:p>
            <w:pPr>
              <w:jc w:val="center"/>
              <w:ind w:right="939"/>
              <w:spacing w:after="0"/>
              <w:rPr>
                <w:sz w:val="20"/>
                <w:szCs w:val="20"/>
                <w:color w:val="auto"/>
              </w:rPr>
            </w:pPr>
            <w:r>
              <w:rPr>
                <w:rFonts w:ascii="Times New Roman" w:cs="Times New Roman" w:eastAsia="Times New Roman" w:hAnsi="Times New Roman"/>
                <w:sz w:val="14"/>
                <w:szCs w:val="14"/>
                <w:b w:val="1"/>
                <w:bCs w:val="1"/>
                <w:color w:val="auto"/>
              </w:rPr>
              <w:t>of incorporation)</w:t>
            </w:r>
          </w:p>
        </w:tc>
        <w:tc>
          <w:tcPr>
            <w:tcW w:w="3080" w:type="dxa"/>
            <w:vAlign w:val="bottom"/>
          </w:tcPr>
          <w:p>
            <w:pPr>
              <w:jc w:val="center"/>
              <w:ind w:right="182"/>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2400" w:type="dxa"/>
            <w:vAlign w:val="bottom"/>
          </w:tcPr>
          <w:p>
            <w:pPr>
              <w:jc w:val="center"/>
              <w:ind w:left="1181"/>
              <w:spacing w:after="0"/>
              <w:rPr>
                <w:sz w:val="20"/>
                <w:szCs w:val="20"/>
                <w:color w:val="auto"/>
              </w:rPr>
            </w:pPr>
            <w:r>
              <w:rPr>
                <w:rFonts w:ascii="Times New Roman" w:cs="Times New Roman" w:eastAsia="Times New Roman" w:hAnsi="Times New Roman"/>
                <w:sz w:val="14"/>
                <w:szCs w:val="14"/>
                <w:b w:val="1"/>
                <w:bCs w:val="1"/>
                <w:color w:val="auto"/>
              </w:rPr>
              <w:t>Identification No.)</w:t>
            </w:r>
          </w:p>
        </w:tc>
        <w:tc>
          <w:tcPr>
            <w:tcW w:w="0" w:type="dxa"/>
            <w:vAlign w:val="bottom"/>
          </w:tcPr>
          <w:p>
            <w:pPr>
              <w:spacing w:after="0"/>
              <w:rPr>
                <w:sz w:val="1"/>
                <w:szCs w:val="1"/>
                <w:color w:val="auto"/>
              </w:rPr>
            </w:pPr>
          </w:p>
        </w:tc>
      </w:tr>
      <w:tr>
        <w:trPr>
          <w:trHeight w:val="402"/>
        </w:trPr>
        <w:tc>
          <w:tcPr>
            <w:tcW w:w="3380" w:type="dxa"/>
            <w:vAlign w:val="bottom"/>
          </w:tcPr>
          <w:p>
            <w:pPr>
              <w:jc w:val="center"/>
              <w:ind w:right="939"/>
              <w:spacing w:after="0"/>
              <w:rPr>
                <w:sz w:val="20"/>
                <w:szCs w:val="20"/>
                <w:color w:val="auto"/>
              </w:rPr>
            </w:pPr>
            <w:r>
              <w:rPr>
                <w:rFonts w:ascii="Times New Roman" w:cs="Times New Roman" w:eastAsia="Times New Roman" w:hAnsi="Times New Roman"/>
                <w:sz w:val="18"/>
                <w:szCs w:val="18"/>
                <w:b w:val="1"/>
                <w:bCs w:val="1"/>
                <w:color w:val="auto"/>
                <w:w w:val="99"/>
              </w:rPr>
              <w:t>4100 Coca-Cola Plaza</w:t>
            </w:r>
          </w:p>
        </w:tc>
        <w:tc>
          <w:tcPr>
            <w:tcW w:w="3080" w:type="dxa"/>
            <w:vAlign w:val="bottom"/>
          </w:tcPr>
          <w:p>
            <w:pPr>
              <w:spacing w:after="0"/>
              <w:rPr>
                <w:sz w:val="24"/>
                <w:szCs w:val="24"/>
                <w:color w:val="auto"/>
              </w:rPr>
            </w:pPr>
          </w:p>
        </w:tc>
        <w:tc>
          <w:tcPr>
            <w:tcW w:w="2400" w:type="dxa"/>
            <w:vAlign w:val="bottom"/>
            <w:vMerge w:val="restart"/>
          </w:tcPr>
          <w:p>
            <w:pPr>
              <w:jc w:val="right"/>
              <w:ind w:right="281"/>
              <w:spacing w:after="0"/>
              <w:rPr>
                <w:sz w:val="20"/>
                <w:szCs w:val="20"/>
                <w:color w:val="auto"/>
              </w:rPr>
            </w:pPr>
            <w:r>
              <w:rPr>
                <w:rFonts w:ascii="Times New Roman" w:cs="Times New Roman" w:eastAsia="Times New Roman" w:hAnsi="Times New Roman"/>
                <w:sz w:val="18"/>
                <w:szCs w:val="18"/>
                <w:b w:val="1"/>
                <w:bCs w:val="1"/>
                <w:color w:val="auto"/>
              </w:rPr>
              <w:t>28211</w:t>
            </w:r>
          </w:p>
        </w:tc>
        <w:tc>
          <w:tcPr>
            <w:tcW w:w="0" w:type="dxa"/>
            <w:vAlign w:val="bottom"/>
          </w:tcPr>
          <w:p>
            <w:pPr>
              <w:spacing w:after="0"/>
              <w:rPr>
                <w:sz w:val="1"/>
                <w:szCs w:val="1"/>
                <w:color w:val="auto"/>
              </w:rPr>
            </w:pPr>
          </w:p>
        </w:tc>
      </w:tr>
      <w:tr>
        <w:trPr>
          <w:trHeight w:val="232"/>
        </w:trPr>
        <w:tc>
          <w:tcPr>
            <w:tcW w:w="3380" w:type="dxa"/>
            <w:vAlign w:val="bottom"/>
          </w:tcPr>
          <w:p>
            <w:pPr>
              <w:jc w:val="center"/>
              <w:ind w:right="939"/>
              <w:spacing w:after="0"/>
              <w:rPr>
                <w:sz w:val="20"/>
                <w:szCs w:val="20"/>
                <w:color w:val="auto"/>
              </w:rPr>
            </w:pPr>
            <w:r>
              <w:rPr>
                <w:rFonts w:ascii="Times New Roman" w:cs="Times New Roman" w:eastAsia="Times New Roman" w:hAnsi="Times New Roman"/>
                <w:sz w:val="18"/>
                <w:szCs w:val="18"/>
                <w:b w:val="1"/>
                <w:bCs w:val="1"/>
                <w:color w:val="auto"/>
                <w:w w:val="99"/>
              </w:rPr>
              <w:t>Charlotte</w:t>
            </w:r>
            <w:r>
              <w:rPr>
                <w:rFonts w:ascii="Times New Roman" w:cs="Times New Roman" w:eastAsia="Times New Roman" w:hAnsi="Times New Roman"/>
                <w:sz w:val="18"/>
                <w:szCs w:val="18"/>
                <w:color w:val="auto"/>
                <w:w w:val="99"/>
              </w:rPr>
              <w:t>,</w:t>
            </w:r>
            <w:r>
              <w:rPr>
                <w:rFonts w:ascii="Times New Roman" w:cs="Times New Roman" w:eastAsia="Times New Roman" w:hAnsi="Times New Roman"/>
                <w:sz w:val="18"/>
                <w:szCs w:val="18"/>
                <w:b w:val="1"/>
                <w:bCs w:val="1"/>
                <w:color w:val="auto"/>
                <w:w w:val="99"/>
              </w:rPr>
              <w:t xml:space="preserve"> NC</w:t>
            </w:r>
          </w:p>
        </w:tc>
        <w:tc>
          <w:tcPr>
            <w:tcW w:w="3080" w:type="dxa"/>
            <w:vAlign w:val="bottom"/>
          </w:tcPr>
          <w:p>
            <w:pPr>
              <w:spacing w:after="0"/>
              <w:rPr>
                <w:sz w:val="20"/>
                <w:szCs w:val="20"/>
                <w:color w:val="auto"/>
              </w:rPr>
            </w:pPr>
          </w:p>
        </w:tc>
        <w:tc>
          <w:tcPr>
            <w:tcW w:w="24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0"/>
        </w:trPr>
        <w:tc>
          <w:tcPr>
            <w:tcW w:w="3380" w:type="dxa"/>
            <w:vAlign w:val="bottom"/>
          </w:tcPr>
          <w:p>
            <w:pPr>
              <w:jc w:val="center"/>
              <w:ind w:right="91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3080" w:type="dxa"/>
            <w:vAlign w:val="bottom"/>
          </w:tcPr>
          <w:p>
            <w:pPr>
              <w:spacing w:after="0"/>
              <w:rPr>
                <w:sz w:val="16"/>
                <w:szCs w:val="16"/>
                <w:color w:val="auto"/>
              </w:rPr>
            </w:pPr>
          </w:p>
        </w:tc>
        <w:tc>
          <w:tcPr>
            <w:tcW w:w="2400" w:type="dxa"/>
            <w:vAlign w:val="bottom"/>
          </w:tcPr>
          <w:p>
            <w:pPr>
              <w:jc w:val="center"/>
              <w:ind w:left="1181"/>
              <w:spacing w:after="0"/>
              <w:rPr>
                <w:sz w:val="20"/>
                <w:szCs w:val="20"/>
                <w:color w:val="auto"/>
              </w:rPr>
            </w:pPr>
            <w:r>
              <w:rPr>
                <w:rFonts w:ascii="Times New Roman" w:cs="Times New Roman" w:eastAsia="Times New Roman" w:hAnsi="Times New Roman"/>
                <w:sz w:val="14"/>
                <w:szCs w:val="14"/>
                <w:b w:val="1"/>
                <w:bCs w:val="1"/>
                <w:color w:val="auto"/>
              </w:rPr>
              <w:t>(Zip Code)</w:t>
            </w:r>
          </w:p>
        </w:tc>
        <w:tc>
          <w:tcPr>
            <w:tcW w:w="0" w:type="dxa"/>
            <w:vAlign w:val="bottom"/>
          </w:tcPr>
          <w:p>
            <w:pPr>
              <w:spacing w:after="0"/>
              <w:rPr>
                <w:sz w:val="1"/>
                <w:szCs w:val="1"/>
                <w:color w:val="auto"/>
              </w:rPr>
            </w:pPr>
          </w:p>
        </w:tc>
      </w:tr>
    </w:tbl>
    <w:p>
      <w:pPr>
        <w:spacing w:after="0" w:line="200" w:lineRule="exact"/>
        <w:rPr>
          <w:sz w:val="24"/>
          <w:szCs w:val="24"/>
          <w:color w:val="auto"/>
        </w:rPr>
      </w:pPr>
    </w:p>
    <w:p>
      <w:pPr>
        <w:spacing w:after="0" w:line="247"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(980) 392-8298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2919730</wp:posOffset>
            </wp:positionH>
            <wp:positionV relativeFrom="paragraph">
              <wp:posOffset>71120</wp:posOffset>
            </wp:positionV>
            <wp:extent cx="131127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311275" cy="8255"/>
                    </a:xfrm>
                    <a:prstGeom prst="rect">
                      <a:avLst/>
                    </a:prstGeom>
                    <a:noFill/>
                  </pic:spPr>
                </pic:pic>
              </a:graphicData>
            </a:graphic>
          </wp:anchor>
        </w:drawing>
      </w:r>
    </w:p>
    <w:p>
      <w:pPr>
        <w:spacing w:after="0" w:line="277"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54" w:lineRule="exact"/>
        <w:rPr>
          <w:sz w:val="24"/>
          <w:szCs w:val="24"/>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58" w:lineRule="exact"/>
        <w:rPr>
          <w:sz w:val="24"/>
          <w:szCs w:val="24"/>
          <w:color w:val="auto"/>
        </w:rPr>
      </w:pPr>
    </w:p>
    <w:tbl>
      <w:tblPr>
        <w:tblLayout w:type="fixed"/>
        <w:tblInd w:w="440" w:type="dxa"/>
        <w:tblCellMar>
          <w:top w:w="0" w:type="dxa"/>
          <w:left w:w="0" w:type="dxa"/>
          <w:bottom w:w="0" w:type="dxa"/>
          <w:right w:w="0" w:type="dxa"/>
        </w:tblCellMar>
      </w:tblPr>
      <w:tr>
        <w:trPr>
          <w:trHeight w:val="161"/>
        </w:trPr>
        <w:tc>
          <w:tcPr>
            <w:tcW w:w="1080" w:type="dxa"/>
            <w:vAlign w:val="bottom"/>
          </w:tcPr>
          <w:p>
            <w:pPr>
              <w:spacing w:after="0"/>
              <w:rPr>
                <w:sz w:val="13"/>
                <w:szCs w:val="13"/>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2360" w:type="dxa"/>
            <w:vAlign w:val="bottom"/>
          </w:tcPr>
          <w:p>
            <w:pPr>
              <w:spacing w:after="0"/>
              <w:rPr>
                <w:sz w:val="13"/>
                <w:szCs w:val="13"/>
                <w:color w:val="auto"/>
              </w:rPr>
            </w:pPr>
          </w:p>
        </w:tc>
        <w:tc>
          <w:tcPr>
            <w:tcW w:w="1940" w:type="dxa"/>
            <w:vAlign w:val="bottom"/>
            <w:gridSpan w:val="2"/>
          </w:tcPr>
          <w:p>
            <w:pPr>
              <w:jc w:val="center"/>
              <w:ind w:right="800"/>
              <w:spacing w:after="0"/>
              <w:rPr>
                <w:sz w:val="20"/>
                <w:szCs w:val="20"/>
                <w:color w:val="auto"/>
              </w:rPr>
            </w:pPr>
            <w:r>
              <w:rPr>
                <w:rFonts w:ascii="Times New Roman" w:cs="Times New Roman" w:eastAsia="Times New Roman" w:hAnsi="Times New Roman"/>
                <w:sz w:val="14"/>
                <w:szCs w:val="14"/>
                <w:b w:val="1"/>
                <w:bCs w:val="1"/>
                <w:color w:val="auto"/>
              </w:rPr>
              <w:t>Trading Symbol(s)</w:t>
            </w:r>
          </w:p>
        </w:tc>
        <w:tc>
          <w:tcPr>
            <w:tcW w:w="3440" w:type="dxa"/>
            <w:vAlign w:val="bottom"/>
            <w:gridSpan w:val="2"/>
          </w:tcPr>
          <w:p>
            <w:pPr>
              <w:jc w:val="center"/>
              <w:ind w:left="708"/>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r>
      <w:tr>
        <w:trPr>
          <w:trHeight w:val="20"/>
        </w:trPr>
        <w:tc>
          <w:tcPr>
            <w:tcW w:w="108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60" w:type="dxa"/>
            <w:vAlign w:val="bottom"/>
            <w:shd w:val="clear" w:color="auto" w:fill="000000"/>
          </w:tcPr>
          <w:p>
            <w:pPr>
              <w:spacing w:after="0" w:line="20" w:lineRule="exact"/>
              <w:rPr>
                <w:sz w:val="1"/>
                <w:szCs w:val="1"/>
                <w:color w:val="auto"/>
              </w:rPr>
            </w:pPr>
          </w:p>
        </w:tc>
      </w:tr>
      <w:tr>
        <w:trPr>
          <w:trHeight w:val="264"/>
        </w:trPr>
        <w:tc>
          <w:tcPr>
            <w:tcW w:w="4520" w:type="dxa"/>
            <w:vAlign w:val="bottom"/>
            <w:gridSpan w:val="3"/>
          </w:tcPr>
          <w:p>
            <w:pPr>
              <w:jc w:val="center"/>
              <w:ind w:right="1300"/>
              <w:spacing w:after="0"/>
              <w:rPr>
                <w:sz w:val="20"/>
                <w:szCs w:val="20"/>
                <w:color w:val="auto"/>
              </w:rPr>
            </w:pPr>
            <w:r>
              <w:rPr>
                <w:rFonts w:ascii="Times New Roman" w:cs="Times New Roman" w:eastAsia="Times New Roman" w:hAnsi="Times New Roman"/>
                <w:sz w:val="18"/>
                <w:szCs w:val="18"/>
                <w:b w:val="1"/>
                <w:bCs w:val="1"/>
                <w:color w:val="auto"/>
                <w:w w:val="99"/>
              </w:rPr>
              <w:t>Common Stock, par value $1.00 per share</w:t>
            </w:r>
          </w:p>
        </w:tc>
        <w:tc>
          <w:tcPr>
            <w:tcW w:w="1940" w:type="dxa"/>
            <w:vAlign w:val="bottom"/>
            <w:gridSpan w:val="2"/>
          </w:tcPr>
          <w:p>
            <w:pPr>
              <w:jc w:val="center"/>
              <w:ind w:right="780"/>
              <w:spacing w:after="0"/>
              <w:rPr>
                <w:sz w:val="20"/>
                <w:szCs w:val="20"/>
                <w:color w:val="auto"/>
              </w:rPr>
            </w:pPr>
            <w:r>
              <w:rPr>
                <w:rFonts w:ascii="Times New Roman" w:cs="Times New Roman" w:eastAsia="Times New Roman" w:hAnsi="Times New Roman"/>
                <w:sz w:val="18"/>
                <w:szCs w:val="18"/>
                <w:b w:val="1"/>
                <w:bCs w:val="1"/>
                <w:color w:val="auto"/>
                <w:w w:val="98"/>
              </w:rPr>
              <w:t>COKE</w:t>
            </w:r>
          </w:p>
        </w:tc>
        <w:tc>
          <w:tcPr>
            <w:tcW w:w="780" w:type="dxa"/>
            <w:vAlign w:val="bottom"/>
          </w:tcPr>
          <w:p>
            <w:pPr>
              <w:spacing w:after="0"/>
              <w:rPr>
                <w:sz w:val="22"/>
                <w:szCs w:val="22"/>
                <w:color w:val="auto"/>
              </w:rPr>
            </w:pPr>
          </w:p>
        </w:tc>
        <w:tc>
          <w:tcPr>
            <w:tcW w:w="26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The Nasdaq Global Select Market</w:t>
            </w:r>
          </w:p>
        </w:tc>
      </w:tr>
    </w:tbl>
    <w:p>
      <w:pPr>
        <w:spacing w:after="0" w:line="292" w:lineRule="exact"/>
        <w:rPr>
          <w:sz w:val="24"/>
          <w:szCs w:val="24"/>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58"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647065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111125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080"/>
          </w:cols>
          <w:pgMar w:left="320" w:top="1440" w:right="499" w:bottom="1440" w:gutter="0" w:footer="0" w:header="0"/>
        </w:sectPr>
      </w:pPr>
    </w:p>
    <w:bookmarkStart w:id="1" w:name="page2"/>
    <w:bookmarkEnd w:id="1"/>
    <w:p>
      <w:pPr>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Item 5.07.</w:t>
      </w:r>
      <w:r>
        <w:rPr>
          <w:sz w:val="20"/>
          <w:szCs w:val="20"/>
          <w:color w:val="auto"/>
        </w:rPr>
        <w:tab/>
      </w:r>
      <w:r>
        <w:rPr>
          <w:rFonts w:ascii="Times New Roman" w:cs="Times New Roman" w:eastAsia="Times New Roman" w:hAnsi="Times New Roman"/>
          <w:sz w:val="17"/>
          <w:szCs w:val="17"/>
          <w:b w:val="1"/>
          <w:bCs w:val="1"/>
          <w:color w:val="auto"/>
        </w:rPr>
        <w:t>Submission of Matters to a Vote of Security Holders.</w:t>
      </w:r>
    </w:p>
    <w:p>
      <w:pPr>
        <w:spacing w:after="0" w:line="310" w:lineRule="exact"/>
        <w:rPr>
          <w:sz w:val="20"/>
          <w:szCs w:val="20"/>
          <w:color w:val="auto"/>
        </w:rPr>
      </w:pPr>
    </w:p>
    <w:p>
      <w:pPr>
        <w:ind w:left="460" w:hanging="434"/>
        <w:spacing w:after="0"/>
        <w:tabs>
          <w:tab w:leader="none" w:pos="4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May 12, 2026, Coca-Cola Consolidated, Inc. (the "Company") held its 2026 Annual Meeting of Stockholders (the "Annual Meeting").</w:t>
      </w:r>
    </w:p>
    <w:p>
      <w:pPr>
        <w:spacing w:after="0" w:line="333" w:lineRule="exact"/>
        <w:rPr>
          <w:rFonts w:ascii="Times New Roman" w:cs="Times New Roman" w:eastAsia="Times New Roman" w:hAnsi="Times New Roman"/>
          <w:sz w:val="18"/>
          <w:szCs w:val="18"/>
          <w:color w:val="auto"/>
        </w:rPr>
      </w:pPr>
    </w:p>
    <w:p>
      <w:pPr>
        <w:ind w:left="460" w:right="120" w:hanging="434"/>
        <w:spacing w:after="0" w:line="258" w:lineRule="auto"/>
        <w:tabs>
          <w:tab w:leader="none" w:pos="4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Annual Meeting, the Company’s stockholders (i) elected all 11 of the Company’s nominees for director to serve until their terms expire at the Company’s 2027 Annual Meeting of Stockholders or until their successors are duly elected and qualified; (ii) approved, on an advisory basis, the Company’s named executive officer compensation in fiscal 2025; and (iii) ratified the appointment of PricewaterhouseCoopers LLP to serve as the Company’s independent registered public accounting firm for fiscal 2026. Each of these proposals is further described in the Company’s definitive proxy statement on Schedule 14A filed with the United States Securities and Exchange Commission on March 23, 2026.</w:t>
      </w:r>
    </w:p>
    <w:p>
      <w:pPr>
        <w:spacing w:after="0" w:line="291" w:lineRule="exact"/>
        <w:rPr>
          <w:rFonts w:ascii="Times New Roman" w:cs="Times New Roman" w:eastAsia="Times New Roman" w:hAnsi="Times New Roman"/>
          <w:sz w:val="18"/>
          <w:szCs w:val="18"/>
          <w:color w:val="auto"/>
        </w:rPr>
      </w:pPr>
    </w:p>
    <w:p>
      <w:pPr>
        <w:ind w:left="4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final voting results for each of the proposals submitted to the Company’s stockholders at the Annual Meeting are as follows:</w:t>
      </w:r>
    </w:p>
    <w:p>
      <w:pPr>
        <w:spacing w:after="0" w:line="200" w:lineRule="exact"/>
        <w:rPr>
          <w:sz w:val="20"/>
          <w:szCs w:val="20"/>
          <w:color w:val="auto"/>
        </w:rPr>
      </w:pPr>
    </w:p>
    <w:p>
      <w:pPr>
        <w:spacing w:after="0" w:line="210" w:lineRule="exact"/>
        <w:rPr>
          <w:sz w:val="20"/>
          <w:szCs w:val="20"/>
          <w:color w:val="auto"/>
        </w:rPr>
      </w:pPr>
    </w:p>
    <w:tbl>
      <w:tblPr>
        <w:tblLayout w:type="fixed"/>
        <w:tblInd w:w="460" w:type="dxa"/>
        <w:tblCellMar>
          <w:top w:w="0" w:type="dxa"/>
          <w:left w:w="0" w:type="dxa"/>
          <w:bottom w:w="0" w:type="dxa"/>
          <w:right w:w="0" w:type="dxa"/>
        </w:tblCellMar>
      </w:tblPr>
      <w:tr>
        <w:trPr>
          <w:trHeight w:val="238"/>
        </w:trPr>
        <w:tc>
          <w:tcPr>
            <w:tcW w:w="34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1. Election of directors:</w:t>
            </w:r>
          </w:p>
        </w:tc>
        <w:tc>
          <w:tcPr>
            <w:tcW w:w="2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100" w:type="dxa"/>
            <w:vAlign w:val="bottom"/>
          </w:tcPr>
          <w:p>
            <w:pPr>
              <w:spacing w:after="0"/>
              <w:rPr>
                <w:sz w:val="20"/>
                <w:szCs w:val="20"/>
                <w:color w:val="auto"/>
              </w:rPr>
            </w:pPr>
          </w:p>
        </w:tc>
      </w:tr>
      <w:tr>
        <w:trPr>
          <w:trHeight w:val="580"/>
        </w:trPr>
        <w:tc>
          <w:tcPr>
            <w:tcW w:w="200" w:type="dxa"/>
            <w:vAlign w:val="bottom"/>
          </w:tcPr>
          <w:p>
            <w:pPr>
              <w:spacing w:after="0"/>
              <w:rPr>
                <w:sz w:val="24"/>
                <w:szCs w:val="24"/>
                <w:color w:val="auto"/>
              </w:rPr>
            </w:pPr>
          </w:p>
        </w:tc>
        <w:tc>
          <w:tcPr>
            <w:tcW w:w="3280" w:type="dxa"/>
            <w:vAlign w:val="bottom"/>
            <w:gridSpan w:val="2"/>
          </w:tcPr>
          <w:p>
            <w:pPr>
              <w:ind w:left="1240"/>
              <w:spacing w:after="0"/>
              <w:rPr>
                <w:sz w:val="20"/>
                <w:szCs w:val="20"/>
                <w:color w:val="auto"/>
              </w:rPr>
            </w:pPr>
            <w:r>
              <w:rPr>
                <w:rFonts w:ascii="Times New Roman" w:cs="Times New Roman" w:eastAsia="Times New Roman" w:hAnsi="Times New Roman"/>
                <w:sz w:val="18"/>
                <w:szCs w:val="18"/>
                <w:b w:val="1"/>
                <w:bCs w:val="1"/>
                <w:color w:val="auto"/>
              </w:rPr>
              <w:t>Nominee</w:t>
            </w:r>
          </w:p>
        </w:tc>
        <w:tc>
          <w:tcPr>
            <w:tcW w:w="2240" w:type="dxa"/>
            <w:vAlign w:val="bottom"/>
            <w:gridSpan w:val="2"/>
          </w:tcPr>
          <w:p>
            <w:pPr>
              <w:ind w:left="680"/>
              <w:spacing w:after="0"/>
              <w:rPr>
                <w:sz w:val="20"/>
                <w:szCs w:val="20"/>
                <w:color w:val="auto"/>
              </w:rPr>
            </w:pPr>
            <w:r>
              <w:rPr>
                <w:rFonts w:ascii="Times New Roman" w:cs="Times New Roman" w:eastAsia="Times New Roman" w:hAnsi="Times New Roman"/>
                <w:sz w:val="18"/>
                <w:szCs w:val="18"/>
                <w:b w:val="1"/>
                <w:bCs w:val="1"/>
                <w:color w:val="auto"/>
              </w:rPr>
              <w:t>Votes For</w:t>
            </w:r>
          </w:p>
        </w:tc>
        <w:tc>
          <w:tcPr>
            <w:tcW w:w="2240" w:type="dxa"/>
            <w:vAlign w:val="bottom"/>
            <w:gridSpan w:val="2"/>
          </w:tcPr>
          <w:p>
            <w:pPr>
              <w:ind w:left="460"/>
              <w:spacing w:after="0"/>
              <w:rPr>
                <w:sz w:val="20"/>
                <w:szCs w:val="20"/>
                <w:color w:val="auto"/>
              </w:rPr>
            </w:pPr>
            <w:r>
              <w:rPr>
                <w:rFonts w:ascii="Times New Roman" w:cs="Times New Roman" w:eastAsia="Times New Roman" w:hAnsi="Times New Roman"/>
                <w:sz w:val="18"/>
                <w:szCs w:val="18"/>
                <w:b w:val="1"/>
                <w:bCs w:val="1"/>
                <w:color w:val="auto"/>
              </w:rPr>
              <w:t>Votes Withheld</w:t>
            </w:r>
          </w:p>
        </w:tc>
        <w:tc>
          <w:tcPr>
            <w:tcW w:w="210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Broker Non-Votes</w:t>
            </w:r>
          </w:p>
        </w:tc>
      </w:tr>
      <w:tr>
        <w:trPr>
          <w:trHeight w:val="223"/>
        </w:trPr>
        <w:tc>
          <w:tcPr>
            <w:tcW w:w="200" w:type="dxa"/>
            <w:vAlign w:val="bottom"/>
          </w:tcPr>
          <w:p>
            <w:pPr>
              <w:spacing w:after="0"/>
              <w:rPr>
                <w:sz w:val="19"/>
                <w:szCs w:val="19"/>
                <w:color w:val="auto"/>
              </w:rPr>
            </w:pPr>
          </w:p>
        </w:tc>
        <w:tc>
          <w:tcPr>
            <w:tcW w:w="31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 Frank Harrison, III</w:t>
            </w:r>
          </w:p>
        </w:tc>
        <w:tc>
          <w:tcPr>
            <w:tcW w:w="120" w:type="dxa"/>
            <w:vAlign w:val="bottom"/>
            <w:tcBorders>
              <w:top w:val="single" w:sz="8" w:color="CCEEFF"/>
            </w:tcBorders>
            <w:shd w:val="clear" w:color="auto" w:fill="CCEEFF"/>
          </w:tcPr>
          <w:p>
            <w:pPr>
              <w:spacing w:after="0"/>
              <w:rPr>
                <w:sz w:val="19"/>
                <w:szCs w:val="19"/>
                <w:color w:val="auto"/>
              </w:rPr>
            </w:pPr>
          </w:p>
        </w:tc>
        <w:tc>
          <w:tcPr>
            <w:tcW w:w="2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213,970,839</w:t>
            </w:r>
          </w:p>
        </w:tc>
        <w:tc>
          <w:tcPr>
            <w:tcW w:w="140" w:type="dxa"/>
            <w:vAlign w:val="bottom"/>
            <w:tcBorders>
              <w:top w:val="single" w:sz="8" w:color="CCEEFF"/>
            </w:tcBorders>
            <w:shd w:val="clear" w:color="auto" w:fill="CCEEFF"/>
          </w:tcPr>
          <w:p>
            <w:pPr>
              <w:spacing w:after="0"/>
              <w:rPr>
                <w:sz w:val="19"/>
                <w:szCs w:val="19"/>
                <w:color w:val="auto"/>
              </w:rPr>
            </w:pPr>
          </w:p>
        </w:tc>
        <w:tc>
          <w:tcPr>
            <w:tcW w:w="2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21,801,856</w:t>
            </w:r>
          </w:p>
        </w:tc>
        <w:tc>
          <w:tcPr>
            <w:tcW w:w="140" w:type="dxa"/>
            <w:vAlign w:val="bottom"/>
            <w:tcBorders>
              <w:top w:val="single" w:sz="8" w:color="CCEEFF"/>
            </w:tcBorders>
            <w:shd w:val="clear" w:color="auto" w:fill="CCEEFF"/>
          </w:tcPr>
          <w:p>
            <w:pPr>
              <w:spacing w:after="0"/>
              <w:rPr>
                <w:sz w:val="19"/>
                <w:szCs w:val="19"/>
                <w:color w:val="auto"/>
              </w:rPr>
            </w:pPr>
          </w:p>
        </w:tc>
        <w:tc>
          <w:tcPr>
            <w:tcW w:w="2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7,926,082</w:t>
            </w:r>
          </w:p>
        </w:tc>
      </w:tr>
      <w:tr>
        <w:trPr>
          <w:trHeight w:val="229"/>
        </w:trPr>
        <w:tc>
          <w:tcPr>
            <w:tcW w:w="200" w:type="dxa"/>
            <w:vAlign w:val="bottom"/>
          </w:tcPr>
          <w:p>
            <w:pPr>
              <w:spacing w:after="0"/>
              <w:rPr>
                <w:sz w:val="19"/>
                <w:szCs w:val="19"/>
                <w:color w:val="auto"/>
              </w:rPr>
            </w:pPr>
          </w:p>
        </w:tc>
        <w:tc>
          <w:tcPr>
            <w:tcW w:w="3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Sharon A. Decker</w:t>
            </w: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231,985,103</w:t>
            </w:r>
          </w:p>
        </w:tc>
        <w:tc>
          <w:tcPr>
            <w:tcW w:w="140" w:type="dxa"/>
            <w:vAlign w:val="bottom"/>
          </w:tcPr>
          <w:p>
            <w:pPr>
              <w:spacing w:after="0"/>
              <w:rPr>
                <w:sz w:val="19"/>
                <w:szCs w:val="19"/>
                <w:color w:val="auto"/>
              </w:rPr>
            </w:pP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3,787,592</w:t>
            </w:r>
          </w:p>
        </w:tc>
        <w:tc>
          <w:tcPr>
            <w:tcW w:w="140" w:type="dxa"/>
            <w:vAlign w:val="bottom"/>
          </w:tcPr>
          <w:p>
            <w:pPr>
              <w:spacing w:after="0"/>
              <w:rPr>
                <w:sz w:val="19"/>
                <w:szCs w:val="19"/>
                <w:color w:val="auto"/>
              </w:rPr>
            </w:pP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7,926,082</w:t>
            </w:r>
          </w:p>
        </w:tc>
      </w:tr>
      <w:tr>
        <w:trPr>
          <w:trHeight w:val="229"/>
        </w:trPr>
        <w:tc>
          <w:tcPr>
            <w:tcW w:w="200" w:type="dxa"/>
            <w:vAlign w:val="bottom"/>
          </w:tcPr>
          <w:p>
            <w:pPr>
              <w:spacing w:after="0"/>
              <w:rPr>
                <w:sz w:val="19"/>
                <w:szCs w:val="19"/>
                <w:color w:val="auto"/>
              </w:rPr>
            </w:pPr>
          </w:p>
        </w:tc>
        <w:tc>
          <w:tcPr>
            <w:tcW w:w="3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Morgan H. Everett</w:t>
            </w:r>
          </w:p>
        </w:tc>
        <w:tc>
          <w:tcPr>
            <w:tcW w:w="2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215,228,601</w:t>
            </w:r>
          </w:p>
        </w:tc>
        <w:tc>
          <w:tcPr>
            <w:tcW w:w="140" w:type="dxa"/>
            <w:vAlign w:val="bottom"/>
            <w:shd w:val="clear" w:color="auto" w:fill="CCEEFF"/>
          </w:tcPr>
          <w:p>
            <w:pPr>
              <w:spacing w:after="0"/>
              <w:rPr>
                <w:sz w:val="19"/>
                <w:szCs w:val="19"/>
                <w:color w:val="auto"/>
              </w:rPr>
            </w:pPr>
          </w:p>
        </w:tc>
        <w:tc>
          <w:tcPr>
            <w:tcW w:w="2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20,544,094</w:t>
            </w:r>
          </w:p>
        </w:tc>
        <w:tc>
          <w:tcPr>
            <w:tcW w:w="140" w:type="dxa"/>
            <w:vAlign w:val="bottom"/>
            <w:shd w:val="clear" w:color="auto" w:fill="CCEEFF"/>
          </w:tcPr>
          <w:p>
            <w:pPr>
              <w:spacing w:after="0"/>
              <w:rPr>
                <w:sz w:val="19"/>
                <w:szCs w:val="19"/>
                <w:color w:val="auto"/>
              </w:rPr>
            </w:pPr>
          </w:p>
        </w:tc>
        <w:tc>
          <w:tcPr>
            <w:tcW w:w="2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7,926,082</w:t>
            </w:r>
          </w:p>
        </w:tc>
      </w:tr>
      <w:tr>
        <w:trPr>
          <w:trHeight w:val="230"/>
        </w:trPr>
        <w:tc>
          <w:tcPr>
            <w:tcW w:w="200" w:type="dxa"/>
            <w:vAlign w:val="bottom"/>
          </w:tcPr>
          <w:p>
            <w:pPr>
              <w:spacing w:after="0"/>
              <w:rPr>
                <w:sz w:val="19"/>
                <w:szCs w:val="19"/>
                <w:color w:val="auto"/>
              </w:rPr>
            </w:pPr>
          </w:p>
        </w:tc>
        <w:tc>
          <w:tcPr>
            <w:tcW w:w="3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Ellison C. Glenn</w:t>
            </w: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234,802,372</w:t>
            </w:r>
          </w:p>
        </w:tc>
        <w:tc>
          <w:tcPr>
            <w:tcW w:w="140" w:type="dxa"/>
            <w:vAlign w:val="bottom"/>
          </w:tcPr>
          <w:p>
            <w:pPr>
              <w:spacing w:after="0"/>
              <w:rPr>
                <w:sz w:val="19"/>
                <w:szCs w:val="19"/>
                <w:color w:val="auto"/>
              </w:rPr>
            </w:pP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970,323</w:t>
            </w:r>
          </w:p>
        </w:tc>
        <w:tc>
          <w:tcPr>
            <w:tcW w:w="140" w:type="dxa"/>
            <w:vAlign w:val="bottom"/>
          </w:tcPr>
          <w:p>
            <w:pPr>
              <w:spacing w:after="0"/>
              <w:rPr>
                <w:sz w:val="19"/>
                <w:szCs w:val="19"/>
                <w:color w:val="auto"/>
              </w:rPr>
            </w:pP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7,926,082</w:t>
            </w:r>
          </w:p>
        </w:tc>
      </w:tr>
      <w:tr>
        <w:trPr>
          <w:trHeight w:val="229"/>
        </w:trPr>
        <w:tc>
          <w:tcPr>
            <w:tcW w:w="200" w:type="dxa"/>
            <w:vAlign w:val="bottom"/>
          </w:tcPr>
          <w:p>
            <w:pPr>
              <w:spacing w:after="0"/>
              <w:rPr>
                <w:sz w:val="19"/>
                <w:szCs w:val="19"/>
                <w:color w:val="auto"/>
              </w:rPr>
            </w:pPr>
          </w:p>
        </w:tc>
        <w:tc>
          <w:tcPr>
            <w:tcW w:w="3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James R. Helvey, III</w:t>
            </w:r>
          </w:p>
        </w:tc>
        <w:tc>
          <w:tcPr>
            <w:tcW w:w="2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232,978,411</w:t>
            </w:r>
          </w:p>
        </w:tc>
        <w:tc>
          <w:tcPr>
            <w:tcW w:w="140" w:type="dxa"/>
            <w:vAlign w:val="bottom"/>
            <w:shd w:val="clear" w:color="auto" w:fill="CCEEFF"/>
          </w:tcPr>
          <w:p>
            <w:pPr>
              <w:spacing w:after="0"/>
              <w:rPr>
                <w:sz w:val="19"/>
                <w:szCs w:val="19"/>
                <w:color w:val="auto"/>
              </w:rPr>
            </w:pPr>
          </w:p>
        </w:tc>
        <w:tc>
          <w:tcPr>
            <w:tcW w:w="2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2,794,284</w:t>
            </w:r>
          </w:p>
        </w:tc>
        <w:tc>
          <w:tcPr>
            <w:tcW w:w="140" w:type="dxa"/>
            <w:vAlign w:val="bottom"/>
            <w:shd w:val="clear" w:color="auto" w:fill="CCEEFF"/>
          </w:tcPr>
          <w:p>
            <w:pPr>
              <w:spacing w:after="0"/>
              <w:rPr>
                <w:sz w:val="19"/>
                <w:szCs w:val="19"/>
                <w:color w:val="auto"/>
              </w:rPr>
            </w:pPr>
          </w:p>
        </w:tc>
        <w:tc>
          <w:tcPr>
            <w:tcW w:w="2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7,926,082</w:t>
            </w:r>
          </w:p>
        </w:tc>
      </w:tr>
      <w:tr>
        <w:trPr>
          <w:trHeight w:val="230"/>
        </w:trPr>
        <w:tc>
          <w:tcPr>
            <w:tcW w:w="200" w:type="dxa"/>
            <w:vAlign w:val="bottom"/>
          </w:tcPr>
          <w:p>
            <w:pPr>
              <w:spacing w:after="0"/>
              <w:rPr>
                <w:sz w:val="19"/>
                <w:szCs w:val="19"/>
                <w:color w:val="auto"/>
              </w:rPr>
            </w:pPr>
          </w:p>
        </w:tc>
        <w:tc>
          <w:tcPr>
            <w:tcW w:w="3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Jason D. (J.D.) Hickey</w:t>
            </w: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235,204,142</w:t>
            </w:r>
          </w:p>
        </w:tc>
        <w:tc>
          <w:tcPr>
            <w:tcW w:w="140" w:type="dxa"/>
            <w:vAlign w:val="bottom"/>
          </w:tcPr>
          <w:p>
            <w:pPr>
              <w:spacing w:after="0"/>
              <w:rPr>
                <w:sz w:val="19"/>
                <w:szCs w:val="19"/>
                <w:color w:val="auto"/>
              </w:rPr>
            </w:pP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568,553</w:t>
            </w:r>
          </w:p>
        </w:tc>
        <w:tc>
          <w:tcPr>
            <w:tcW w:w="140" w:type="dxa"/>
            <w:vAlign w:val="bottom"/>
          </w:tcPr>
          <w:p>
            <w:pPr>
              <w:spacing w:after="0"/>
              <w:rPr>
                <w:sz w:val="19"/>
                <w:szCs w:val="19"/>
                <w:color w:val="auto"/>
              </w:rPr>
            </w:pP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7,926,082</w:t>
            </w:r>
          </w:p>
        </w:tc>
      </w:tr>
      <w:tr>
        <w:trPr>
          <w:trHeight w:val="229"/>
        </w:trPr>
        <w:tc>
          <w:tcPr>
            <w:tcW w:w="200" w:type="dxa"/>
            <w:vAlign w:val="bottom"/>
          </w:tcPr>
          <w:p>
            <w:pPr>
              <w:spacing w:after="0"/>
              <w:rPr>
                <w:sz w:val="19"/>
                <w:szCs w:val="19"/>
                <w:color w:val="auto"/>
              </w:rPr>
            </w:pPr>
          </w:p>
        </w:tc>
        <w:tc>
          <w:tcPr>
            <w:tcW w:w="3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William H. Jones</w:t>
            </w:r>
          </w:p>
        </w:tc>
        <w:tc>
          <w:tcPr>
            <w:tcW w:w="2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234,915,587</w:t>
            </w:r>
          </w:p>
        </w:tc>
        <w:tc>
          <w:tcPr>
            <w:tcW w:w="140" w:type="dxa"/>
            <w:vAlign w:val="bottom"/>
            <w:shd w:val="clear" w:color="auto" w:fill="CCEEFF"/>
          </w:tcPr>
          <w:p>
            <w:pPr>
              <w:spacing w:after="0"/>
              <w:rPr>
                <w:sz w:val="19"/>
                <w:szCs w:val="19"/>
                <w:color w:val="auto"/>
              </w:rPr>
            </w:pPr>
          </w:p>
        </w:tc>
        <w:tc>
          <w:tcPr>
            <w:tcW w:w="2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857,108</w:t>
            </w:r>
          </w:p>
        </w:tc>
        <w:tc>
          <w:tcPr>
            <w:tcW w:w="140" w:type="dxa"/>
            <w:vAlign w:val="bottom"/>
            <w:shd w:val="clear" w:color="auto" w:fill="CCEEFF"/>
          </w:tcPr>
          <w:p>
            <w:pPr>
              <w:spacing w:after="0"/>
              <w:rPr>
                <w:sz w:val="19"/>
                <w:szCs w:val="19"/>
                <w:color w:val="auto"/>
              </w:rPr>
            </w:pPr>
          </w:p>
        </w:tc>
        <w:tc>
          <w:tcPr>
            <w:tcW w:w="2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7,926,082</w:t>
            </w:r>
          </w:p>
        </w:tc>
      </w:tr>
      <w:tr>
        <w:trPr>
          <w:trHeight w:val="229"/>
        </w:trPr>
        <w:tc>
          <w:tcPr>
            <w:tcW w:w="200" w:type="dxa"/>
            <w:vAlign w:val="bottom"/>
          </w:tcPr>
          <w:p>
            <w:pPr>
              <w:spacing w:after="0"/>
              <w:rPr>
                <w:sz w:val="19"/>
                <w:szCs w:val="19"/>
                <w:color w:val="auto"/>
              </w:rPr>
            </w:pPr>
          </w:p>
        </w:tc>
        <w:tc>
          <w:tcPr>
            <w:tcW w:w="3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David M. Katz</w:t>
            </w: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215,237,975</w:t>
            </w:r>
          </w:p>
        </w:tc>
        <w:tc>
          <w:tcPr>
            <w:tcW w:w="140" w:type="dxa"/>
            <w:vAlign w:val="bottom"/>
          </w:tcPr>
          <w:p>
            <w:pPr>
              <w:spacing w:after="0"/>
              <w:rPr>
                <w:sz w:val="19"/>
                <w:szCs w:val="19"/>
                <w:color w:val="auto"/>
              </w:rPr>
            </w:pP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20,534,720</w:t>
            </w:r>
          </w:p>
        </w:tc>
        <w:tc>
          <w:tcPr>
            <w:tcW w:w="140" w:type="dxa"/>
            <w:vAlign w:val="bottom"/>
          </w:tcPr>
          <w:p>
            <w:pPr>
              <w:spacing w:after="0"/>
              <w:rPr>
                <w:sz w:val="19"/>
                <w:szCs w:val="19"/>
                <w:color w:val="auto"/>
              </w:rPr>
            </w:pP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7,926,082</w:t>
            </w:r>
          </w:p>
        </w:tc>
      </w:tr>
      <w:tr>
        <w:trPr>
          <w:trHeight w:val="230"/>
        </w:trPr>
        <w:tc>
          <w:tcPr>
            <w:tcW w:w="200" w:type="dxa"/>
            <w:vAlign w:val="bottom"/>
          </w:tcPr>
          <w:p>
            <w:pPr>
              <w:spacing w:after="0"/>
              <w:rPr>
                <w:sz w:val="19"/>
                <w:szCs w:val="19"/>
                <w:color w:val="auto"/>
              </w:rPr>
            </w:pPr>
          </w:p>
        </w:tc>
        <w:tc>
          <w:tcPr>
            <w:tcW w:w="3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James H. Morgan</w:t>
            </w:r>
          </w:p>
        </w:tc>
        <w:tc>
          <w:tcPr>
            <w:tcW w:w="2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216,922,359</w:t>
            </w:r>
          </w:p>
        </w:tc>
        <w:tc>
          <w:tcPr>
            <w:tcW w:w="140" w:type="dxa"/>
            <w:vAlign w:val="bottom"/>
            <w:shd w:val="clear" w:color="auto" w:fill="CCEEFF"/>
          </w:tcPr>
          <w:p>
            <w:pPr>
              <w:spacing w:after="0"/>
              <w:rPr>
                <w:sz w:val="19"/>
                <w:szCs w:val="19"/>
                <w:color w:val="auto"/>
              </w:rPr>
            </w:pPr>
          </w:p>
        </w:tc>
        <w:tc>
          <w:tcPr>
            <w:tcW w:w="2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18,850,336</w:t>
            </w:r>
          </w:p>
        </w:tc>
        <w:tc>
          <w:tcPr>
            <w:tcW w:w="140" w:type="dxa"/>
            <w:vAlign w:val="bottom"/>
            <w:shd w:val="clear" w:color="auto" w:fill="CCEEFF"/>
          </w:tcPr>
          <w:p>
            <w:pPr>
              <w:spacing w:after="0"/>
              <w:rPr>
                <w:sz w:val="19"/>
                <w:szCs w:val="19"/>
                <w:color w:val="auto"/>
              </w:rPr>
            </w:pPr>
          </w:p>
        </w:tc>
        <w:tc>
          <w:tcPr>
            <w:tcW w:w="2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7,926,082</w:t>
            </w:r>
          </w:p>
        </w:tc>
      </w:tr>
      <w:tr>
        <w:trPr>
          <w:trHeight w:val="229"/>
        </w:trPr>
        <w:tc>
          <w:tcPr>
            <w:tcW w:w="200" w:type="dxa"/>
            <w:vAlign w:val="bottom"/>
          </w:tcPr>
          <w:p>
            <w:pPr>
              <w:spacing w:after="0"/>
              <w:rPr>
                <w:sz w:val="19"/>
                <w:szCs w:val="19"/>
                <w:color w:val="auto"/>
              </w:rPr>
            </w:pPr>
          </w:p>
        </w:tc>
        <w:tc>
          <w:tcPr>
            <w:tcW w:w="3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Dennis A. Wicker</w:t>
            </w: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215,374,106</w:t>
            </w:r>
          </w:p>
        </w:tc>
        <w:tc>
          <w:tcPr>
            <w:tcW w:w="140" w:type="dxa"/>
            <w:vAlign w:val="bottom"/>
          </w:tcPr>
          <w:p>
            <w:pPr>
              <w:spacing w:after="0"/>
              <w:rPr>
                <w:sz w:val="19"/>
                <w:szCs w:val="19"/>
                <w:color w:val="auto"/>
              </w:rPr>
            </w:pP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20,398,589</w:t>
            </w:r>
          </w:p>
        </w:tc>
        <w:tc>
          <w:tcPr>
            <w:tcW w:w="140" w:type="dxa"/>
            <w:vAlign w:val="bottom"/>
          </w:tcPr>
          <w:p>
            <w:pPr>
              <w:spacing w:after="0"/>
              <w:rPr>
                <w:sz w:val="19"/>
                <w:szCs w:val="19"/>
                <w:color w:val="auto"/>
              </w:rPr>
            </w:pP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7,926,082</w:t>
            </w:r>
          </w:p>
        </w:tc>
      </w:tr>
      <w:tr>
        <w:trPr>
          <w:trHeight w:val="230"/>
        </w:trPr>
        <w:tc>
          <w:tcPr>
            <w:tcW w:w="200" w:type="dxa"/>
            <w:vAlign w:val="bottom"/>
          </w:tcPr>
          <w:p>
            <w:pPr>
              <w:spacing w:after="0"/>
              <w:rPr>
                <w:sz w:val="19"/>
                <w:szCs w:val="19"/>
                <w:color w:val="auto"/>
              </w:rPr>
            </w:pPr>
          </w:p>
        </w:tc>
        <w:tc>
          <w:tcPr>
            <w:tcW w:w="3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Richard T. Williams</w:t>
            </w:r>
          </w:p>
        </w:tc>
        <w:tc>
          <w:tcPr>
            <w:tcW w:w="2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235,191,108</w:t>
            </w:r>
          </w:p>
        </w:tc>
        <w:tc>
          <w:tcPr>
            <w:tcW w:w="140" w:type="dxa"/>
            <w:vAlign w:val="bottom"/>
            <w:shd w:val="clear" w:color="auto" w:fill="CCEEFF"/>
          </w:tcPr>
          <w:p>
            <w:pPr>
              <w:spacing w:after="0"/>
              <w:rPr>
                <w:sz w:val="19"/>
                <w:szCs w:val="19"/>
                <w:color w:val="auto"/>
              </w:rPr>
            </w:pPr>
          </w:p>
        </w:tc>
        <w:tc>
          <w:tcPr>
            <w:tcW w:w="2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581,587</w:t>
            </w:r>
          </w:p>
        </w:tc>
        <w:tc>
          <w:tcPr>
            <w:tcW w:w="140" w:type="dxa"/>
            <w:vAlign w:val="bottom"/>
            <w:shd w:val="clear" w:color="auto" w:fill="CCEEFF"/>
          </w:tcPr>
          <w:p>
            <w:pPr>
              <w:spacing w:after="0"/>
              <w:rPr>
                <w:sz w:val="19"/>
                <w:szCs w:val="19"/>
                <w:color w:val="auto"/>
              </w:rPr>
            </w:pPr>
          </w:p>
        </w:tc>
        <w:tc>
          <w:tcPr>
            <w:tcW w:w="2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7,926,082</w:t>
            </w:r>
          </w:p>
        </w:tc>
      </w:tr>
    </w:tbl>
    <w:p>
      <w:pPr>
        <w:spacing w:after="0" w:line="35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2. Advisory vote to approve the Company’s named executive officer compensation in fiscal 2025:</w:t>
      </w:r>
    </w:p>
    <w:p>
      <w:pPr>
        <w:spacing w:after="0" w:line="387" w:lineRule="exact"/>
        <w:rPr>
          <w:sz w:val="20"/>
          <w:szCs w:val="20"/>
          <w:color w:val="auto"/>
        </w:rPr>
      </w:pPr>
    </w:p>
    <w:tbl>
      <w:tblPr>
        <w:tblLayout w:type="fixed"/>
        <w:tblInd w:w="660" w:type="dxa"/>
        <w:tblCellMar>
          <w:top w:w="0" w:type="dxa"/>
          <w:left w:w="0" w:type="dxa"/>
          <w:bottom w:w="0" w:type="dxa"/>
          <w:right w:w="0" w:type="dxa"/>
        </w:tblCellMar>
      </w:tblPr>
      <w:tr>
        <w:trPr>
          <w:trHeight w:val="238"/>
        </w:trPr>
        <w:tc>
          <w:tcPr>
            <w:tcW w:w="2480" w:type="dxa"/>
            <w:vAlign w:val="bottom"/>
            <w:gridSpan w:val="2"/>
          </w:tcPr>
          <w:p>
            <w:pPr>
              <w:ind w:left="800"/>
              <w:spacing w:after="0"/>
              <w:rPr>
                <w:sz w:val="20"/>
                <w:szCs w:val="20"/>
                <w:color w:val="auto"/>
              </w:rPr>
            </w:pPr>
            <w:r>
              <w:rPr>
                <w:rFonts w:ascii="Times New Roman" w:cs="Times New Roman" w:eastAsia="Times New Roman" w:hAnsi="Times New Roman"/>
                <w:sz w:val="18"/>
                <w:szCs w:val="18"/>
                <w:b w:val="1"/>
                <w:bCs w:val="1"/>
                <w:color w:val="auto"/>
              </w:rPr>
              <w:t>Votes For</w:t>
            </w:r>
          </w:p>
        </w:tc>
        <w:tc>
          <w:tcPr>
            <w:tcW w:w="2500" w:type="dxa"/>
            <w:vAlign w:val="bottom"/>
            <w:gridSpan w:val="2"/>
          </w:tcPr>
          <w:p>
            <w:pPr>
              <w:ind w:left="660"/>
              <w:spacing w:after="0"/>
              <w:rPr>
                <w:sz w:val="20"/>
                <w:szCs w:val="20"/>
                <w:color w:val="auto"/>
              </w:rPr>
            </w:pPr>
            <w:r>
              <w:rPr>
                <w:rFonts w:ascii="Times New Roman" w:cs="Times New Roman" w:eastAsia="Times New Roman" w:hAnsi="Times New Roman"/>
                <w:sz w:val="18"/>
                <w:szCs w:val="18"/>
                <w:b w:val="1"/>
                <w:bCs w:val="1"/>
                <w:color w:val="auto"/>
              </w:rPr>
              <w:t>Votes Against</w:t>
            </w:r>
          </w:p>
        </w:tc>
        <w:tc>
          <w:tcPr>
            <w:tcW w:w="2500" w:type="dxa"/>
            <w:vAlign w:val="bottom"/>
            <w:gridSpan w:val="2"/>
          </w:tcPr>
          <w:p>
            <w:pPr>
              <w:ind w:left="740"/>
              <w:spacing w:after="0"/>
              <w:rPr>
                <w:sz w:val="20"/>
                <w:szCs w:val="20"/>
                <w:color w:val="auto"/>
              </w:rPr>
            </w:pPr>
            <w:r>
              <w:rPr>
                <w:rFonts w:ascii="Times New Roman" w:cs="Times New Roman" w:eastAsia="Times New Roman" w:hAnsi="Times New Roman"/>
                <w:sz w:val="18"/>
                <w:szCs w:val="18"/>
                <w:b w:val="1"/>
                <w:bCs w:val="1"/>
                <w:color w:val="auto"/>
              </w:rPr>
              <w:t>Abstentions</w:t>
            </w:r>
          </w:p>
        </w:tc>
        <w:tc>
          <w:tcPr>
            <w:tcW w:w="238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Broker Non-Votes</w:t>
            </w:r>
          </w:p>
        </w:tc>
      </w:tr>
      <w:tr>
        <w:trPr>
          <w:trHeight w:val="223"/>
        </w:trPr>
        <w:tc>
          <w:tcPr>
            <w:tcW w:w="2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234,374,546</w:t>
            </w:r>
          </w:p>
        </w:tc>
        <w:tc>
          <w:tcPr>
            <w:tcW w:w="140" w:type="dxa"/>
            <w:vAlign w:val="bottom"/>
            <w:tcBorders>
              <w:top w:val="single" w:sz="8" w:color="CCEEFF"/>
            </w:tcBorders>
            <w:shd w:val="clear" w:color="auto" w:fill="CCEEFF"/>
          </w:tcPr>
          <w:p>
            <w:pPr>
              <w:spacing w:after="0"/>
              <w:rPr>
                <w:sz w:val="19"/>
                <w:szCs w:val="19"/>
                <w:color w:val="auto"/>
              </w:rPr>
            </w:pPr>
          </w:p>
        </w:tc>
        <w:tc>
          <w:tcPr>
            <w:tcW w:w="2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1,288,975</w:t>
            </w:r>
          </w:p>
        </w:tc>
        <w:tc>
          <w:tcPr>
            <w:tcW w:w="140" w:type="dxa"/>
            <w:vAlign w:val="bottom"/>
            <w:tcBorders>
              <w:top w:val="single" w:sz="8" w:color="CCEEFF"/>
            </w:tcBorders>
            <w:shd w:val="clear" w:color="auto" w:fill="CCEEFF"/>
          </w:tcPr>
          <w:p>
            <w:pPr>
              <w:spacing w:after="0"/>
              <w:rPr>
                <w:sz w:val="19"/>
                <w:szCs w:val="19"/>
                <w:color w:val="auto"/>
              </w:rPr>
            </w:pPr>
          </w:p>
        </w:tc>
        <w:tc>
          <w:tcPr>
            <w:tcW w:w="2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109,174</w:t>
            </w:r>
          </w:p>
        </w:tc>
        <w:tc>
          <w:tcPr>
            <w:tcW w:w="120" w:type="dxa"/>
            <w:vAlign w:val="bottom"/>
            <w:tcBorders>
              <w:top w:val="single" w:sz="8" w:color="CCEEFF"/>
            </w:tcBorders>
            <w:shd w:val="clear" w:color="auto" w:fill="CCEEFF"/>
          </w:tcPr>
          <w:p>
            <w:pPr>
              <w:spacing w:after="0"/>
              <w:rPr>
                <w:sz w:val="19"/>
                <w:szCs w:val="19"/>
                <w:color w:val="auto"/>
              </w:rPr>
            </w:pPr>
          </w:p>
        </w:tc>
        <w:tc>
          <w:tcPr>
            <w:tcW w:w="2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7,926,082</w:t>
            </w:r>
          </w:p>
        </w:tc>
      </w:tr>
    </w:tbl>
    <w:p>
      <w:pPr>
        <w:spacing w:after="0" w:line="356" w:lineRule="exact"/>
        <w:rPr>
          <w:sz w:val="20"/>
          <w:szCs w:val="20"/>
          <w:color w:val="auto"/>
        </w:rPr>
      </w:pPr>
    </w:p>
    <w:p>
      <w:pPr>
        <w:ind w:left="460" w:right="380" w:hanging="2"/>
        <w:spacing w:after="0" w:line="286" w:lineRule="auto"/>
        <w:tabs>
          <w:tab w:leader="none" w:pos="64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Ratification of the appointment of PricewaterhouseCoopers LLP to serve as the Company’s independent registered public accounting firm for fiscal 2026:</w:t>
      </w: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60" w:type="dxa"/>
            <w:vAlign w:val="bottom"/>
          </w:tcPr>
          <w:p>
            <w:pPr>
              <w:spacing w:after="0"/>
              <w:rPr>
                <w:sz w:val="20"/>
                <w:szCs w:val="20"/>
                <w:color w:val="auto"/>
              </w:rPr>
            </w:pPr>
          </w:p>
        </w:tc>
        <w:tc>
          <w:tcPr>
            <w:tcW w:w="2500" w:type="dxa"/>
            <w:vAlign w:val="bottom"/>
            <w:gridSpan w:val="2"/>
          </w:tcPr>
          <w:p>
            <w:pPr>
              <w:ind w:left="800"/>
              <w:spacing w:after="0"/>
              <w:rPr>
                <w:sz w:val="20"/>
                <w:szCs w:val="20"/>
                <w:color w:val="auto"/>
              </w:rPr>
            </w:pPr>
            <w:r>
              <w:rPr>
                <w:rFonts w:ascii="Times New Roman" w:cs="Times New Roman" w:eastAsia="Times New Roman" w:hAnsi="Times New Roman"/>
                <w:sz w:val="18"/>
                <w:szCs w:val="18"/>
                <w:b w:val="1"/>
                <w:bCs w:val="1"/>
                <w:color w:val="auto"/>
              </w:rPr>
              <w:t>Votes For</w:t>
            </w:r>
          </w:p>
        </w:tc>
        <w:tc>
          <w:tcPr>
            <w:tcW w:w="2500" w:type="dxa"/>
            <w:vAlign w:val="bottom"/>
            <w:gridSpan w:val="2"/>
          </w:tcPr>
          <w:p>
            <w:pPr>
              <w:ind w:left="660"/>
              <w:spacing w:after="0"/>
              <w:rPr>
                <w:sz w:val="20"/>
                <w:szCs w:val="20"/>
                <w:color w:val="auto"/>
              </w:rPr>
            </w:pPr>
            <w:r>
              <w:rPr>
                <w:rFonts w:ascii="Times New Roman" w:cs="Times New Roman" w:eastAsia="Times New Roman" w:hAnsi="Times New Roman"/>
                <w:sz w:val="18"/>
                <w:szCs w:val="18"/>
                <w:b w:val="1"/>
                <w:bCs w:val="1"/>
                <w:color w:val="auto"/>
              </w:rPr>
              <w:t>Votes Against</w:t>
            </w:r>
          </w:p>
        </w:tc>
        <w:tc>
          <w:tcPr>
            <w:tcW w:w="2500" w:type="dxa"/>
            <w:vAlign w:val="bottom"/>
            <w:gridSpan w:val="2"/>
          </w:tcPr>
          <w:p>
            <w:pPr>
              <w:ind w:left="720"/>
              <w:spacing w:after="0"/>
              <w:rPr>
                <w:sz w:val="20"/>
                <w:szCs w:val="20"/>
                <w:color w:val="auto"/>
              </w:rPr>
            </w:pPr>
            <w:r>
              <w:rPr>
                <w:rFonts w:ascii="Times New Roman" w:cs="Times New Roman" w:eastAsia="Times New Roman" w:hAnsi="Times New Roman"/>
                <w:sz w:val="18"/>
                <w:szCs w:val="18"/>
                <w:b w:val="1"/>
                <w:bCs w:val="1"/>
                <w:color w:val="auto"/>
              </w:rPr>
              <w:t>Abstentions</w:t>
            </w:r>
          </w:p>
        </w:tc>
        <w:tc>
          <w:tcPr>
            <w:tcW w:w="3080" w:type="dxa"/>
            <w:vAlign w:val="bottom"/>
            <w:gridSpan w:val="2"/>
          </w:tcPr>
          <w:p>
            <w:pPr>
              <w:ind w:left="500"/>
              <w:spacing w:after="0"/>
              <w:rPr>
                <w:sz w:val="20"/>
                <w:szCs w:val="20"/>
                <w:color w:val="auto"/>
              </w:rPr>
            </w:pPr>
            <w:r>
              <w:rPr>
                <w:rFonts w:ascii="Times New Roman" w:cs="Times New Roman" w:eastAsia="Times New Roman" w:hAnsi="Times New Roman"/>
                <w:sz w:val="18"/>
                <w:szCs w:val="18"/>
                <w:b w:val="1"/>
                <w:bCs w:val="1"/>
                <w:color w:val="auto"/>
              </w:rPr>
              <w:t>Broker Non-Votes</w:t>
            </w:r>
          </w:p>
        </w:tc>
      </w:tr>
      <w:tr>
        <w:trPr>
          <w:trHeight w:val="223"/>
        </w:trPr>
        <w:tc>
          <w:tcPr>
            <w:tcW w:w="660" w:type="dxa"/>
            <w:vAlign w:val="bottom"/>
          </w:tcPr>
          <w:p>
            <w:pPr>
              <w:spacing w:after="0"/>
              <w:rPr>
                <w:sz w:val="19"/>
                <w:szCs w:val="19"/>
                <w:color w:val="auto"/>
              </w:rPr>
            </w:pPr>
          </w:p>
        </w:tc>
        <w:tc>
          <w:tcPr>
            <w:tcW w:w="2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242,857,325</w:t>
            </w:r>
          </w:p>
        </w:tc>
        <w:tc>
          <w:tcPr>
            <w:tcW w:w="140" w:type="dxa"/>
            <w:vAlign w:val="bottom"/>
            <w:tcBorders>
              <w:top w:val="single" w:sz="8" w:color="CCEEFF"/>
            </w:tcBorders>
            <w:shd w:val="clear" w:color="auto" w:fill="CCEEFF"/>
          </w:tcPr>
          <w:p>
            <w:pPr>
              <w:spacing w:after="0"/>
              <w:rPr>
                <w:sz w:val="19"/>
                <w:szCs w:val="19"/>
                <w:color w:val="auto"/>
              </w:rPr>
            </w:pPr>
          </w:p>
        </w:tc>
        <w:tc>
          <w:tcPr>
            <w:tcW w:w="2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752,186</w:t>
            </w:r>
          </w:p>
        </w:tc>
        <w:tc>
          <w:tcPr>
            <w:tcW w:w="140" w:type="dxa"/>
            <w:vAlign w:val="bottom"/>
            <w:tcBorders>
              <w:top w:val="single" w:sz="8" w:color="CCEEFF"/>
            </w:tcBorders>
            <w:shd w:val="clear" w:color="auto" w:fill="CCEEFF"/>
          </w:tcPr>
          <w:p>
            <w:pPr>
              <w:spacing w:after="0"/>
              <w:rPr>
                <w:sz w:val="19"/>
                <w:szCs w:val="19"/>
                <w:color w:val="auto"/>
              </w:rPr>
            </w:pPr>
          </w:p>
        </w:tc>
        <w:tc>
          <w:tcPr>
            <w:tcW w:w="2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89,266</w:t>
            </w:r>
          </w:p>
        </w:tc>
        <w:tc>
          <w:tcPr>
            <w:tcW w:w="140" w:type="dxa"/>
            <w:vAlign w:val="bottom"/>
            <w:tcBorders>
              <w:top w:val="single" w:sz="8" w:color="CCEEFF"/>
            </w:tcBorders>
            <w:shd w:val="clear" w:color="auto" w:fill="CCEEFF"/>
          </w:tcPr>
          <w:p>
            <w:pPr>
              <w:spacing w:after="0"/>
              <w:rPr>
                <w:sz w:val="19"/>
                <w:szCs w:val="19"/>
                <w:color w:val="auto"/>
              </w:rPr>
            </w:pPr>
          </w:p>
        </w:tc>
        <w:tc>
          <w:tcPr>
            <w:tcW w:w="2360" w:type="dxa"/>
            <w:vAlign w:val="bottom"/>
            <w:tcBorders>
              <w:top w:val="single" w:sz="8" w:color="auto"/>
            </w:tcBorders>
            <w:shd w:val="clear" w:color="auto" w:fill="CCEEFF"/>
          </w:tcPr>
          <w:p>
            <w:pPr>
              <w:ind w:left="21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spacing w:after="0"/>
              <w:rPr>
                <w:sz w:val="19"/>
                <w:szCs w:val="19"/>
                <w:color w:val="auto"/>
              </w:rPr>
            </w:pPr>
          </w:p>
        </w:tc>
      </w:tr>
      <w:tr>
        <w:trPr>
          <w:trHeight w:val="1100"/>
        </w:trPr>
        <w:tc>
          <w:tcPr>
            <w:tcW w:w="660" w:type="dxa"/>
            <w:vAlign w:val="bottom"/>
            <w:tcBorders>
              <w:bottom w:val="single" w:sz="8" w:color="9A9A9A"/>
            </w:tcBorders>
          </w:tcPr>
          <w:p>
            <w:pPr>
              <w:spacing w:after="0"/>
              <w:rPr>
                <w:sz w:val="24"/>
                <w:szCs w:val="24"/>
                <w:color w:val="auto"/>
              </w:rPr>
            </w:pPr>
          </w:p>
        </w:tc>
        <w:tc>
          <w:tcPr>
            <w:tcW w:w="23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3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3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36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46" w:right="33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5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25" w:lineRule="exact"/>
        <w:rPr>
          <w:sz w:val="20"/>
          <w:szCs w:val="20"/>
          <w:color w:val="auto"/>
        </w:rPr>
      </w:pPr>
    </w:p>
    <w:p>
      <w:pPr>
        <w:ind w:left="2760"/>
        <w:spacing w:after="0"/>
        <w:rPr>
          <w:sz w:val="20"/>
          <w:szCs w:val="20"/>
          <w:color w:val="auto"/>
        </w:rPr>
      </w:pPr>
      <w:r>
        <w:rPr>
          <w:rFonts w:ascii="Times New Roman" w:cs="Times New Roman" w:eastAsia="Times New Roman" w:hAnsi="Times New Roman"/>
          <w:sz w:val="18"/>
          <w:szCs w:val="18"/>
          <w:b w:val="1"/>
          <w:bCs w:val="1"/>
          <w:color w:val="auto"/>
        </w:rPr>
        <w:t>COCA-COLA CONSOLIDATED, INC.</w:t>
      </w:r>
    </w:p>
    <w:p>
      <w:pPr>
        <w:spacing w:after="0" w:line="200" w:lineRule="exact"/>
        <w:rPr>
          <w:sz w:val="20"/>
          <w:szCs w:val="20"/>
          <w:color w:val="auto"/>
        </w:rPr>
      </w:pPr>
    </w:p>
    <w:p>
      <w:pPr>
        <w:spacing w:after="0" w:line="218" w:lineRule="exact"/>
        <w:rPr>
          <w:sz w:val="20"/>
          <w:szCs w:val="20"/>
          <w:color w:val="auto"/>
        </w:rPr>
      </w:pPr>
    </w:p>
    <w:p>
      <w:pPr>
        <w:ind w:left="20"/>
        <w:spacing w:after="0"/>
        <w:tabs>
          <w:tab w:leader="none" w:pos="2740" w:val="left"/>
          <w:tab w:leader="none" w:pos="3260" w:val="left"/>
        </w:tabs>
        <w:rPr>
          <w:sz w:val="20"/>
          <w:szCs w:val="20"/>
          <w:color w:val="auto"/>
        </w:rPr>
      </w:pPr>
      <w:r>
        <w:rPr>
          <w:rFonts w:ascii="Times New Roman" w:cs="Times New Roman" w:eastAsia="Times New Roman" w:hAnsi="Times New Roman"/>
          <w:sz w:val="18"/>
          <w:szCs w:val="18"/>
          <w:color w:val="auto"/>
        </w:rPr>
        <w:t>Date: May 13,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E. Beauregarde Fisher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2070735</wp:posOffset>
            </wp:positionH>
            <wp:positionV relativeFrom="paragraph">
              <wp:posOffset>34290</wp:posOffset>
            </wp:positionV>
            <wp:extent cx="354901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549015" cy="8890"/>
                    </a:xfrm>
                    <a:prstGeom prst="rect">
                      <a:avLst/>
                    </a:prstGeom>
                    <a:noFill/>
                  </pic:spPr>
                </pic:pic>
              </a:graphicData>
            </a:graphic>
          </wp:anchor>
        </w:drawing>
      </w:r>
    </w:p>
    <w:p>
      <w:pPr>
        <w:spacing w:after="0" w:line="57"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color w:val="auto"/>
        </w:rPr>
        <w:t>E. Beauregarde Fisher III</w:t>
      </w:r>
    </w:p>
    <w:p>
      <w:pPr>
        <w:spacing w:after="0" w:line="16"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color w:val="auto"/>
        </w:rPr>
        <w:t>Chief Legal and Administrative Officer</w:t>
      </w:r>
    </w:p>
    <w:p>
      <w:pPr>
        <w:spacing w:after="0" w:line="7"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color w:val="auto"/>
        </w:rPr>
        <w:t>and Corporate Secretary</w:t>
      </w:r>
    </w:p>
    <w:sectPr>
      <w:pgSz w:w="11900" w:h="16838" w:orient="portrait"/>
      <w:cols w:equalWidth="0" w:num="1">
        <w:col w:w="11200"/>
      </w:cols>
      <w:pgMar w:left="320" w:top="1062"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lowerLetter"/>
      <w:start w:val="1"/>
    </w:lvl>
  </w:abstractNum>
  <w:abstractNum w:abstractNumId="2">
    <w:nsid w:val="19495CFF"/>
    <w:multiLevelType w:val="hybridMultilevel"/>
    <w:lvl w:ilvl="0">
      <w:lvlJc w:val="left"/>
      <w:lvlText w:val="%1."/>
      <w:numFmt w:val="decimal"/>
      <w:start w:val="3"/>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2026-05-13T15:16:47Z</dcterms:created>
  <dcterms:modified xsi:type="dcterms:W3CDTF">2026-05-13T15:16:47Z</dcterms:modified>
</cp:coreProperties>
</file>