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6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July 3,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 the transition period from ___________ to 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0-9286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COCA-COLA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tbl>
      <w:tblPr>
        <w:tblW w:w="5380" w:type="dxa"/>
        <w:jc w:val="center"/>
        <w:tblInd w:w="0" w:type="dxa"/>
        <w:tblLayout w:type="fixed"/>
        <w:tblCellMar>
          <w:top w:w="28" w:type="dxa"/>
          <w:left w:w="28" w:type="dxa"/>
          <w:bottom w:w="28" w:type="dxa"/>
          <w:right w:w="28" w:type="dxa"/>
        </w:tblCellMar>
      </w:tblPr>
      <w:tblGrid>
        <w:gridCol w:w="1220"/>
        <w:gridCol w:w="1072"/>
        <w:gridCol w:w="1082"/>
        <w:gridCol w:w="543"/>
        <w:gridCol w:w="543"/>
        <w:gridCol w:w="548"/>
        <w:gridCol w:w="109"/>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56-0950585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56" w:before="0" w:after="0"/>
              <w:jc w:val="center"/>
              <w:rPr/>
            </w:pPr>
            <w:r>
              <w:rPr>
                <w:rFonts w:ascii="Times New Roman;serif" w:hAnsi="Times New Roman;serif"/>
                <w:b/>
                <w:color w:val="000000"/>
                <w:sz w:val="20"/>
              </w:rPr>
              <w:t>4100 Coca</w:t>
            </w:r>
            <w:r>
              <w:rPr>
                <w:color w:val="000000"/>
              </w:rPr>
              <w:noBreakHyphen/>
            </w:r>
            <w:r>
              <w:rPr>
                <w:rFonts w:ascii="Times New Roman;serif" w:hAnsi="Times New Roman;serif"/>
                <w:b/>
                <w:color w:val="000000"/>
                <w:sz w:val="20"/>
              </w:rPr>
              <w:t>Cola Plaza</w:t>
            </w:r>
          </w:p>
        </w:tc>
        <w:tc>
          <w:tcPr>
            <w:tcW w:w="1634"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Charlotte, NC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28211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(980) 392-8298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13" w:type="dxa"/>
        <w:jc w:val="left"/>
        <w:tblInd w:w="0" w:type="dxa"/>
        <w:tblLayout w:type="fixed"/>
        <w:tblCellMar>
          <w:top w:w="28" w:type="dxa"/>
          <w:left w:w="28" w:type="dxa"/>
          <w:bottom w:w="28" w:type="dxa"/>
          <w:right w:w="28" w:type="dxa"/>
        </w:tblCellMar>
      </w:tblPr>
      <w:tblGrid>
        <w:gridCol w:w="1209"/>
        <w:gridCol w:w="1066"/>
        <w:gridCol w:w="1070"/>
        <w:gridCol w:w="484"/>
        <w:gridCol w:w="484"/>
        <w:gridCol w:w="48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par value $1.00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COKE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200" w:after="10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10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July 24, 2026, there were 56,517,334 shares of the registrant’s Common Stock, par value $1.00 per share, and 10,046,960 shares of the registrant’s Class B Common Stock, par value $1.00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3,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46" w:type="dxa"/>
        <w:jc w:val="center"/>
        <w:tblInd w:w="0" w:type="dxa"/>
        <w:tblLayout w:type="fixed"/>
        <w:tblCellMar>
          <w:top w:w="28" w:type="dxa"/>
          <w:left w:w="28" w:type="dxa"/>
          <w:bottom w:w="28" w:type="dxa"/>
          <w:right w:w="28" w:type="dxa"/>
        </w:tblCellMar>
      </w:tblPr>
      <w:tblGrid>
        <w:gridCol w:w="293"/>
        <w:gridCol w:w="258"/>
        <w:gridCol w:w="259"/>
        <w:gridCol w:w="2454"/>
        <w:gridCol w:w="2454"/>
        <w:gridCol w:w="2457"/>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0">
              <w:r>
                <w:rPr>
                  <w:rStyle w:val="InternetLink"/>
                  <w:rFonts w:ascii="Times New Roman;serif" w:hAnsi="Times New Roman;serif"/>
                  <w:b w:val="false"/>
                  <w:color w:val="0000FF"/>
                  <w:sz w:val="20"/>
                  <w:u w:val="singl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6">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6">
              <w:r>
                <w:rPr>
                  <w:rStyle w:val="InternetLink"/>
                  <w:rFonts w:ascii="Times New Roman;serif" w:hAnsi="Times New Roman;serif"/>
                  <w:b w:val="false"/>
                  <w:strike w:val="false"/>
                  <w:dstrike w:val="false"/>
                  <w:color w:val="0000FF"/>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9">
              <w:r>
                <w:rPr>
                  <w:rStyle w:val="InternetLink"/>
                  <w:rFonts w:ascii="Times New Roman;serif" w:hAnsi="Times New Roman;serif"/>
                  <w:b w:val="false"/>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9">
              <w:r>
                <w:rPr>
                  <w:rStyle w:val="InternetLink"/>
                  <w:rFonts w:ascii="Times New Roman;serif" w:hAnsi="Times New Roman;serif"/>
                  <w:b w:val="false"/>
                  <w:strike w:val="false"/>
                  <w:dstrike w:val="false"/>
                  <w:color w:val="0000FF"/>
                  <w:sz w:val="20"/>
                  <w:u w:val="none"/>
                  <w:effect w:val="non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22">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22">
              <w:r>
                <w:rPr>
                  <w:rStyle w:val="InternetLink"/>
                  <w:rFonts w:ascii="Times New Roman;serif" w:hAnsi="Times New Roman;serif"/>
                  <w:b w:val="false"/>
                  <w:strike w:val="false"/>
                  <w:dstrike w:val="false"/>
                  <w:color w:val="0000FF"/>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25">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25">
              <w:r>
                <w:rPr>
                  <w:rStyle w:val="InternetLink"/>
                  <w:rFonts w:ascii="Times New Roman;serif" w:hAnsi="Times New Roman;serif"/>
                  <w:b w:val="false"/>
                  <w:strike w:val="false"/>
                  <w:dstrike w:val="false"/>
                  <w:color w:val="0000FF"/>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28">
              <w:r>
                <w:rPr>
                  <w:rStyle w:val="InternetLink"/>
                  <w:rFonts w:ascii="Times New Roman;serif" w:hAnsi="Times New Roman;serif"/>
                  <w:b w:val="false"/>
                  <w:color w:val="0000FF"/>
                  <w:sz w:val="20"/>
                  <w:u w:val="single"/>
                </w:rPr>
                <w:t>Condensed Consolidated Statements of Changes in Stockholders’ (Deficit)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28">
              <w:r>
                <w:rPr>
                  <w:rStyle w:val="InternetLink"/>
                  <w:rFonts w:ascii="Times New Roman;serif" w:hAnsi="Times New Roman;serif"/>
                  <w:b w:val="false"/>
                  <w:strike w:val="false"/>
                  <w:dstrike w:val="false"/>
                  <w:color w:val="0000FF"/>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31">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31">
              <w:r>
                <w:rPr>
                  <w:rStyle w:val="InternetLink"/>
                  <w:rFonts w:ascii="Times New Roman;serif" w:hAnsi="Times New Roman;serif"/>
                  <w:b w:val="false"/>
                  <w:strike w:val="false"/>
                  <w:dstrike w:val="false"/>
                  <w:color w:val="0000FF"/>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00">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00">
              <w:r>
                <w:rPr>
                  <w:rStyle w:val="InternetLink"/>
                  <w:rFonts w:ascii="Times New Roman;serif" w:hAnsi="Times New Roman;serif"/>
                  <w:b w:val="false"/>
                  <w:strike w:val="false"/>
                  <w:dstrike w:val="false"/>
                  <w:color w:val="0000FF"/>
                  <w:sz w:val="20"/>
                  <w:u w:val="none"/>
                  <w:effect w:val="non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3">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33">
              <w:r>
                <w:rPr>
                  <w:rStyle w:val="InternetLink"/>
                  <w:rFonts w:ascii="Times New Roman;serif" w:hAnsi="Times New Roman;serif"/>
                  <w:b w:val="false"/>
                  <w:strike w:val="false"/>
                  <w:dstrike w:val="false"/>
                  <w:color w:val="0000FF"/>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6">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36">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36">
              <w:r>
                <w:rPr>
                  <w:rStyle w:val="InternetLink"/>
                  <w:rFonts w:ascii="Times New Roman;serif" w:hAnsi="Times New Roman;serif"/>
                  <w:b w:val="false"/>
                  <w:strike w:val="false"/>
                  <w:dstrike w:val="false"/>
                  <w:color w:val="0000FF"/>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39">
              <w:r>
                <w:rPr>
                  <w:rStyle w:val="InternetLink"/>
                  <w:rFonts w:ascii="Times New Roman;serif" w:hAnsi="Times New Roman;serif"/>
                  <w:b w:val="false"/>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42">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42">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42">
              <w:r>
                <w:rPr>
                  <w:rStyle w:val="InternetLink"/>
                  <w:rFonts w:ascii="Times New Roman;serif" w:hAnsi="Times New Roman;serif"/>
                  <w:b w:val="false"/>
                  <w:strike w:val="false"/>
                  <w:dstrike w:val="false"/>
                  <w:color w:val="0000FF"/>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45">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4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45">
              <w:r>
                <w:rPr>
                  <w:rStyle w:val="InternetLink"/>
                  <w:rFonts w:ascii="Times New Roman;serif" w:hAnsi="Times New Roman;serif"/>
                  <w:b w:val="false"/>
                  <w:strike w:val="false"/>
                  <w:dstrike w:val="false"/>
                  <w:color w:val="0000FF"/>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0c3b2fd28b4ca3aa67c83fa1cf6c7e_148">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0c3b2fd28b4ca3aa67c83fa1cf6c7e_148">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0c3b2fd28b4ca3aa67c83fa1cf6c7e_148">
              <w:r>
                <w:rPr>
                  <w:rStyle w:val="InternetLink"/>
                  <w:rFonts w:ascii="Times New Roman;serif" w:hAnsi="Times New Roman;serif"/>
                  <w:b w:val="false"/>
                  <w:strike w:val="false"/>
                  <w:dstrike w:val="false"/>
                  <w:color w:val="0000FF"/>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51">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51">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51">
              <w:r>
                <w:rPr>
                  <w:rStyle w:val="InternetLink"/>
                  <w:rFonts w:ascii="Times New Roman;serif" w:hAnsi="Times New Roman;serif"/>
                  <w:b w:val="false"/>
                  <w:strike w:val="false"/>
                  <w:dstrike w:val="false"/>
                  <w:color w:val="0000FF"/>
                  <w:sz w:val="20"/>
                  <w:u w:val="none"/>
                  <w:effect w:val="none"/>
                </w:rPr>
                <w:t>47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0c3b2fd28b4ca3aa67c83fa1cf6c7e_154">
              <w:r>
                <w:rPr>
                  <w:rStyle w:val="InternetLink"/>
                  <w:rFonts w:ascii="Times New Roman;serif" w:hAnsi="Times New Roman;serif"/>
                  <w:b w:val="false"/>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c0c3b2fd28b4ca3aa67c83fa1cf6c7e_154">
              <w:r>
                <w:rPr>
                  <w:rStyle w:val="InternetLink"/>
                  <w:rFonts w:ascii="Times New Roman;serif" w:hAnsi="Times New Roman;serif"/>
                  <w:b w:val="false"/>
                  <w:strike w:val="false"/>
                  <w:dstrike w:val="false"/>
                  <w:color w:val="0000FF"/>
                  <w:sz w:val="20"/>
                  <w:u w:val="none"/>
                  <w:effect w:val="non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28"/>
        <w:gridCol w:w="1067"/>
        <w:gridCol w:w="107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2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270,377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290,998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Stock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B Common Stock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Stock shares outstanding – assuming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87,236 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B Common Stock shares outstanding – assuming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30"/>
        <w:gridCol w:w="1334"/>
        <w:gridCol w:w="1343"/>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5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 reclassification including pension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 reclassification including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gain/loss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159,981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272,875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290,952</w:t>
            </w: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85"/>
        <w:gridCol w:w="2092"/>
        <w:gridCol w:w="2043"/>
        <w:gridCol w:w="109"/>
        <w:gridCol w:w="109"/>
        <w:gridCol w:w="109"/>
        <w:gridCol w:w="211"/>
        <w:gridCol w:w="991"/>
        <w:gridCol w:w="109"/>
        <w:gridCol w:w="109"/>
        <w:gridCol w:w="109"/>
        <w:gridCol w:w="109"/>
        <w:gridCol w:w="267"/>
        <w:gridCol w:w="1256"/>
        <w:gridCol w:w="197"/>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The Coca</w:t>
              <w:noBreakHyphen/>
              <w:t>Cola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1,526,648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1,426,674</w:t>
            </w: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1,604,605 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property under financing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agreements,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4,432,475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4,302,998</w:t>
            </w: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 AND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obligations under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1,260,241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1,128,657</w:t>
            </w: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obligations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obligations under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2,686,009 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4,932,605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5,042,721</w:t>
            </w: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$1.00 par value: 300,000,000 shares authorized; 56,517,334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$1.00 par value: 100,000,000 shares authorized; 10,046,960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(824,046)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(739,723)</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(deficit)/equity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4,432,475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4,302,998</w:t>
            </w: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53"/>
        <w:gridCol w:w="1817"/>
        <w:gridCol w:w="1823"/>
        <w:gridCol w:w="109"/>
        <w:gridCol w:w="109"/>
        <w:gridCol w:w="109"/>
        <w:gridCol w:w="211"/>
        <w:gridCol w:w="881"/>
        <w:gridCol w:w="109"/>
        <w:gridCol w:w="109"/>
        <w:gridCol w:w="109"/>
        <w:gridCol w:w="109"/>
        <w:gridCol w:w="211"/>
        <w:gridCol w:w="991"/>
        <w:gridCol w:w="109"/>
        <w:gridCol w:w="109"/>
        <w:gridCol w:w="109"/>
        <w:gridCol w:w="109"/>
        <w:gridCol w:w="109"/>
        <w:gridCol w:w="109"/>
        <w:gridCol w:w="109"/>
        <w:gridCol w:w="109"/>
        <w:gridCol w:w="109"/>
        <w:gridCol w:w="109"/>
        <w:gridCol w:w="109"/>
        <w:gridCol w:w="156"/>
      </w:tblGrid>
      <w:tr>
        <w:trPr/>
        <w:tc>
          <w:tcPr>
            <w:tcW w:w="215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from property, plant and equipment and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deferred proceeds,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current assets less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420,647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406,221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disposal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(156,947)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(207,359)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(114,761)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1,219,925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accrued and recorded in accounts payable,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695" w:type="dxa"/>
        <w:jc w:val="left"/>
        <w:tblInd w:w="0" w:type="dxa"/>
        <w:tblLayout w:type="fixed"/>
        <w:tblCellMar>
          <w:top w:w="28" w:type="dxa"/>
          <w:left w:w="28" w:type="dxa"/>
          <w:bottom w:w="28" w:type="dxa"/>
          <w:right w:w="28" w:type="dxa"/>
        </w:tblCellMar>
      </w:tblPr>
      <w:tblGrid>
        <w:gridCol w:w="615"/>
        <w:gridCol w:w="277"/>
        <w:gridCol w:w="27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272"/>
        <w:gridCol w:w="792"/>
        <w:gridCol w:w="152"/>
        <w:gridCol w:w="109"/>
        <w:gridCol w:w="109"/>
        <w:gridCol w:w="109"/>
        <w:gridCol w:w="240"/>
        <w:gridCol w:w="497"/>
        <w:gridCol w:w="134"/>
        <w:gridCol w:w="109"/>
        <w:gridCol w:w="109"/>
        <w:gridCol w:w="109"/>
        <w:gridCol w:w="211"/>
        <w:gridCol w:w="437"/>
        <w:gridCol w:w="118"/>
        <w:gridCol w:w="109"/>
        <w:gridCol w:w="109"/>
        <w:gridCol w:w="109"/>
        <w:gridCol w:w="196"/>
        <w:gridCol w:w="75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 -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Deficit</w:t>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April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(729,131)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(4,667)</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(643,470)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(586,951)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(3,507)</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(500,130)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(824,046)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(6,005)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(739,723)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($0.50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(586,951)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(3,507)</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(500,130)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240" w:type="dxa"/>
        <w:jc w:val="left"/>
        <w:tblInd w:w="0" w:type="dxa"/>
        <w:tblLayout w:type="fixed"/>
        <w:tblCellMar>
          <w:top w:w="28" w:type="dxa"/>
          <w:left w:w="28" w:type="dxa"/>
          <w:bottom w:w="28" w:type="dxa"/>
          <w:right w:w="28" w:type="dxa"/>
        </w:tblCellMar>
      </w:tblPr>
      <w:tblGrid>
        <w:gridCol w:w="615"/>
        <w:gridCol w:w="277"/>
        <w:gridCol w:w="27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886"/>
        <w:gridCol w:w="109"/>
        <w:gridCol w:w="109"/>
        <w:gridCol w:w="109"/>
        <w:gridCol w:w="109"/>
        <w:gridCol w:w="272"/>
        <w:gridCol w:w="792"/>
        <w:gridCol w:w="152"/>
        <w:gridCol w:w="109"/>
        <w:gridCol w:w="109"/>
        <w:gridCol w:w="109"/>
        <w:gridCol w:w="196"/>
        <w:gridCol w:w="751"/>
        <w:gridCol w:w="109"/>
        <w:gridCol w:w="109"/>
        <w:gridCol w:w="109"/>
        <w:gridCol w:w="109"/>
        <w:gridCol w:w="196"/>
        <w:gridCol w:w="461"/>
        <w:gridCol w:w="109"/>
        <w:gridCol w:w="109"/>
        <w:gridCol w:w="109"/>
        <w:gridCol w:w="109"/>
        <w:gridCol w:w="196"/>
        <w:gridCol w:w="886"/>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 -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Equity</w:t>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1,477,000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1,871</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(127,467)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1,499,414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1,642,592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1,839</w:t>
            </w: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(162,222)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1,630,219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1,395,183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1,885</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(127,467)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1,417,611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($0.50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1,642,592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1,839</w:t>
            </w: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(162,222)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1,630,219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Critical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and the consolidated operations of Coca</w:t>
        <w:noBreakHyphen/>
        <w:t>Cola Consolidated, Inc. and its majority-owned subsidiaries (collectively referred to herein as the “Company”). All significant intercompany accounts and transactions have been eliminated. The condensed consolidated financial statements reflect all adjustments, including normal, recurring accruals, which, in the opinion of management, are necessary for a fair statement of the results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Company’s quarters, other than the fourth quarter, ends on the Friday closest to the last day of the corresponding quarterly calendar period. The Company’s fourth quarter and fiscal year end on December 31 regardless of the day of the week on which December 31 falls. The condensed consolidated financial statements presented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position as of July 3, 2026 and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operations, comprehensive income and changes in stockholders’ (deficit) equity for the three-month periods ended July 3, 2026 (the “second quarter” of fiscal 2026 (“2026”)) and June 27, 2025 (the “second quarter” of fiscal 2025 (“2025”)) and the six-month periods ended July 3, 2026 (the “first half” of 2026) and June 27, 2025 (the “first half”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changes in cash flows for the first half of 2026 and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accounting principles generally accepted in the United States (“GAAP”) for interim financial reporting and the instructions to Form 10-Q and Article 10 of Regulation S-X. The accounting policies followed in the presentation of interim financial results are consistent with those followed on an annual basis. These policies are presented in Note 1 to the consolidated financial statements included in the Company’s Annual Report on Form 10-K for 2025 filed with the United States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has made a number of estimates and assumptions relating to the reporting of its results of operations and financial position in the preparation of its condensed consolidated financial statements in conformity with GAAP. Actual results could differ significantly from those estimates under different assumptions and conditions. The Company included in its Annual Report on Form 10-K for 2025 under the caption “Discussion of Critical Accounting Estimates” in “Item 7. Management’s Discussion and Analysis of Financial Condition and Results of Operations,” a discussion of the Company’s most critical accounting estimates, which are those the Company believes to be the most important to the portrayal of its financial condition and results of operations and that require management’s most difficult, subjective and complex judgments, often as a result of the need to make estimates about the effect of matters that are inherently uncertain.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changes in critical accounting estimates are discussed with the Audit Committee of the Company’s Board of Directors during the quarter in which a change is contemplated and prior to making such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(the “FASB”) issued Accounting Standards Update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fiscal years beginning after December 15, 2024. The Company adopted ASU 2023-09 in the fourth quarter of 2025, noting no material impact on its consolidated financial statements. See Note 16 for disclosure related to the Company’s income tax reporting.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disclosure of disaggregated income expenses, including purchases of inventory, employee compensation, depreciation, and intangible asset amortization, among other things. The amendment also requires companies to provide a qualitative description of expense captions not separately disaggregated, as well as the total amount of selling expenses and, annually, the entity’s definition of selling expenses. The amendment is effective for fiscal years beginning after December 15, 2026 and interim periods beginning after December 15, 2027. The Company is in the process of evaluating the impact ASU 2024-03 will have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J. Frank Harrison, III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J. Frank Harrison, III, Chairman of the Board of Directors and Chief Executive Officer of the Company, controlled 10,043,940 shares of Class B Common Stock, which represented approximately 78% of the total voting power of the outstanding Common Stock and Class B Common Stock on a consolidated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business consists primarily of the distribution, marketing and manufacture of nonalcoholic beverages of The Coca</w:t>
        <w:noBreakHyphen/>
        <w:t>Cola Company, which is the sole owner of the formulas under which the primary components of the Company’s soft drink products, either concentrate or syrup, are manufactured.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November 7, 2025, the Company entered into a purchase agreement (the “Repurchase Agreement”) with Carolina Coca-Cola Bottling Investments, Inc. (the</w:t>
      </w:r>
      <w:r>
        <w:rPr>
          <w:color w:val="000000"/>
        </w:rPr>
        <w:t xml:space="preserve"> “</w:t>
      </w:r>
      <w:r>
        <w:rPr>
          <w:rFonts w:ascii="Times New Roman;serif" w:hAnsi="Times New Roman;serif"/>
          <w:b w:val="false"/>
          <w:color w:val="000000"/>
          <w:sz w:val="20"/>
        </w:rPr>
        <w:t>Seller”), an indirect wholly owned subsidiary of The Coca</w:t>
        <w:noBreakHyphen/>
        <w:t>Cola Company, The Coca</w:t>
        <w:noBreakHyphen/>
        <w:t>Cola Company and J. Frank Harrison, III, pursuant to which the Company agreed to purchase and the Seller agreed to sell all of the Seller’s shares of Common Stock for a cash payment in the aggregate amount of $2.40 billion (the “Repurchase”). The closing of the Repurchase also occurred on November 7, 2025. The Company funded the purchase price for the Repurchase with cash on hand and a term loan obtained under a certain bridge loan agreement (the “Bridge Facility”), as further discussed in Note 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Repurchase, The Coca</w:t>
        <w:noBreakHyphen/>
        <w:t>Cola Company does not own any shares of Common Stock or Class B Common Stock. The Coca</w:t>
        <w:noBreakHyphen/>
        <w:t>Cola Company no longer has the right to have a designee proposed by the Company for nomination to the Company’s Board of Directors at each election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cash transactions between the Company and The Coca</w:t>
        <w:noBreakHyphen/>
        <w:t>Cola Company: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2"/>
        <w:gridCol w:w="1261"/>
        <w:gridCol w:w="1264"/>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 made by the Company to The Coca-Cola Company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by The Coca-Cola Company to the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This excludes acquisition related sub-bottling payments made by the Company to CCR (as defined below), a wholly owned subsidiary of 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than 80% of the payments made by the Company to The Coca</w:t>
        <w:noBreakHyphen/>
        <w:t>Cola Company were for concentrate, syrup, sweetener and other finished goods products, which were recorded in cost of sales in the condensed consolidated statements of operations and represent the primary components of the soft drink products the Company manufactures and distributes. Payments made by the Company to The Coca</w:t>
        <w:noBreakHyphen/>
        <w:t>Cola Company also included payments for marketing programs associated with large, national customers managed by The Coca</w:t>
        <w:noBreakHyphen/>
        <w:t>Cola Company on behalf of the Company, which were recorded as a reduction to net sales in the condensed consolidated statements of operations. Other payments made by the Company to The Coca</w:t>
        <w:noBreakHyphen/>
        <w:t>Cola Company related to cold drink equipment parts, fees associated with the rights to distribute certain brands and other customary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 by The Coca</w:t>
        <w:noBreakHyphen/>
        <w:t>Cola Company to the Company included annual funding in connection with the Company’s agreement to support certain business initiatives developed by The Coca</w:t>
        <w:noBreakHyphen/>
        <w:t xml:space="preserve">Cola Company and funding associated with the delivery of post-mix products to various customers, both of which were recorded as a reduction to cost of sales 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Post-mix products are dispensed through equipment that mixes fountain syrups with carbonated or still water, enabling fountain retailers to sell finished products to consumers in cups or glasses. Payments made by The Coca</w:t>
        <w:noBreakHyphen/>
        <w:t>Cola Company to the Company also included fountain product delivery and equipment repair services performed by the Company on The Coca</w:t>
        <w:noBreakHyphen/>
        <w:t>Cola Company’s equipment, all of which were recorded in net sales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Coca</w:t>
        <w:noBreakHyphen/>
        <w:t>Cola Refreshments USA, LLC (“CCR”)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The Coca</w:t>
        <w:noBreakHyphen/>
        <w:t>Cola Company and CCR entered into comprehensive beverage agreements (as amended, collectively, the “CBA”), related to a multi-year series of transactions, which were completed in October 2017, through which the Company acquired and exchanged distribution territories and manufacturing plants (the “System Transformation”). The CBA requires the Company to make quarterly acquisition related sub-bottling payments to CCR on a continuing basis in exchange for the grant of exclusive rights to distribute, promote, market and sell the authorized brands of The Coca</w:t>
        <w:noBreakHyphen/>
        <w:t>Cola Company and related products in certain distribution territories the Company acquired from CCR. These acquisition related sub-bottling payments are based on gross profit derived from the Company’s sales of certain beverages and beverage products that are sold under the same trademarks that identify a covered beverage, a beverage product or certain cross-licensed brands applicable to the System Transformation.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related sub-bottling payments to CCR were $37.1 million in the first half of 2026 and $35.2 million in the first half of 2025. The following table summarizes the liability recorded by the Company to reflect the estimated fair value of contingent consideration related to future expected acquisition related sub-bottling payments to CCR:</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2003"/>
        <w:gridCol w:w="1763"/>
        <w:gridCol w:w="1768"/>
        <w:gridCol w:w="109"/>
        <w:gridCol w:w="109"/>
        <w:gridCol w:w="109"/>
        <w:gridCol w:w="211"/>
        <w:gridCol w:w="841"/>
        <w:gridCol w:w="109"/>
        <w:gridCol w:w="109"/>
        <w:gridCol w:w="109"/>
        <w:gridCol w:w="109"/>
        <w:gridCol w:w="309"/>
        <w:gridCol w:w="1235"/>
        <w:gridCol w:w="226"/>
      </w:tblGrid>
      <w:tr>
        <w:trPr/>
        <w:tc>
          <w:tcPr>
            <w:tcW w:w="200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760,396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717,908</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Southeastern Container (“Southeastern”)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shareholder of Southeastern, a plastic bottle manufacturing cooperative. The Company accounts for Southeastern as an equity method investment. The Company’s investment in Southeastern, which was classified as other assets in the condensed consolidated balance sheets, was $21.5 million as of July 3, 2026 and $21.3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South Atlantic Canners, Inc. (“SAC”)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shareholder of SAC, a manufacturing cooperative located in Bishopville, South Carolina. All of SAC’s shareholders are Coca</w:t>
        <w:noBreakHyphen/>
        <w:t>Cola bottlers and each has equal voting rights. The Company accounts for SAC as an equity method investment. The Company’s investment in SAC, which was classified as other assets in the condensed consolidated balance sheets, was $39.9 million as of July 3, 2026 and $35.0 million as of December 31, 2025. The Company also guarantees a portion of SAC’s debt. As of both July 3, 2026 and December 31, 2025, the Company was not required to guarantee any of SAC’s debt. See Note 20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receives a fee for managing the day-to-day operations of SAC pursuant to a management agreement. Proceeds from management fees received from SAC, which were recorded as a reduction to cost of sales in the condensed consolidated statements of operations, were $5.0 million in the first half of 2026 and $4.8 million in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Coca</w:t>
        <w:noBreakHyphen/>
        <w:t>Cola Bottlers’ Sales &amp; Services Company LLC (“CCBSS”)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Along with all other Coca</w:t>
        <w:noBreakHyphen/>
        <w:t>Cola bottlers in the United States and Canada, the Company is a member of CCBSS, a company formed to provide certain procurement and other services with the intention of enhancing the efficiency and competitiveness of the Coca</w:t>
        <w:noBreakHyphen/>
        <w:t>Cola bottling system. The Company accounts for CCBSS as an equity method investment and its investment in CCBSS is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CCBSS negotiates the procurement for the majority of the Company’s raw materials, excluding concentrate, and the Company receives a rebate from CCBSS for the purchase of these raw materials. The Company had rebates due from CCBSS of $21.3 million on July 3, 2026 and $17.3 million on December 31, 2025, which were classified as accounts receivable, other in the condensed consolidated balance sheets. Changes in rebates receivable relate to volatility in raw material prices and the timing of cash receipts of rebates.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CONA Services LLC (“CONA”)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Along with certain other Coca</w:t>
        <w:noBreakHyphen/>
        <w:t>Cola bottlers, the Company is a member of CONA, an entity formed to provide business process and information technology services to its members. The Company accounts for CONA as an equity method investment. The Company’s investment in CONA, which was classified as other assets in the condensed consolidated balance sheets, was $30.1 million as of July 3, 2026 and $30.2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an amended and restated master services agreement with CONA, the Company is authorized to use the Coke One North America system (the “CONA System”), a uniform information technology system developed to promote operational efficiency and uniformity among North American Coca</w:t>
        <w:noBreakHyphen/>
        <w:t>Cola bottlers. In exchange for the Company’s rights to use the CONA System and receive CONA-related services, it is charged service fees by CONA. The Company incurred service fees to CONA of $12.8 million in the first half of 2026 and $12.2 million in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its headquarters office facility and an adjacent office facility in Charlotte, North Carolina from Beacon Investment Corporation, of which J. Frank Harrison, III is the majority stockholder and each of Morgan H. Everett, Vice Chair of the Company’s Board of Directors, and the spouse of Ellison C. Glenn, the Company’s Chief Sales and Service Officer, is a minority stockholder. The annual base rent the Company is obligated to pay under this lease is subject to an adjustment for an inflation factor and the lease expires on December 31, 2029. Rental payments for this lease were $1.0 million in both the second quarter of 2026 and the second quarter of 2025 and $2.1 million and $2.0 million in the first half of 2026 and the first half of 2025, respectively. The principal balance outstanding under this lease was $14.1 million on July 3, 2026 and $15.9 million on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Performance Equity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Long-Term Performance Equity Plan compensates J. Frank Harrison, III based on the Company’s performance. Awards granted to Mr. Harrison under the Long-Term Performance Equity Plan are earned based on the Company’s attainment during a performance period of certain performance measures, each as specified by the Compensation Committee of the Company’s Board of Directors. These awards may be settled in cash and/or shares of Class B Common Stock, based on the average of the closing prices of shares of Common Stock during the last 20 trading days of the performance period. Compensation expense for the Long-Term Performance Equity Plan, which was included in selling, delivery and administrative (“SD&amp;A”) expenses in the condensed consolidated statements of operations, was $4.0 million and $3.9 million in the second quarter of 2026 and the second quarter of 2025, respectively, and $6.2 million and $6.0 million in the first half of 2026 and the first half of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noBreakHyphen/>
        <w:t>Cola bottlers, post-mix sales, transportation revenue and equipment maintenance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noBreakHyphen/>
        <w:t>Cola bottlers and post-mix sales are recognized when control transfers to a customer, which is generally upon delivery and is considered a single point in time (“point in time”). Point in time sales accounted for approximately 99% of the Company’s net sales in both the first half of 2026 and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disaggregation of revenue from contracts with customers:</w:t>
      </w:r>
    </w:p>
    <w:p>
      <w:pPr>
        <w:pStyle w:val="TextBody"/>
        <w:bidi w:val="0"/>
        <w:spacing w:before="0" w:after="0"/>
        <w:jc w:val="left"/>
        <w:rPr/>
      </w:pPr>
      <w:r>
        <w:rPr/>
      </w:r>
    </w:p>
    <w:tbl>
      <w:tblPr>
        <w:tblW w:w="9912" w:type="dxa"/>
        <w:jc w:val="left"/>
        <w:tblInd w:w="0" w:type="dxa"/>
        <w:tblLayout w:type="fixed"/>
        <w:tblCellMar>
          <w:top w:w="28" w:type="dxa"/>
          <w:left w:w="28" w:type="dxa"/>
          <w:bottom w:w="28" w:type="dxa"/>
          <w:right w:w="28" w:type="dxa"/>
        </w:tblCellMar>
      </w:tblPr>
      <w:tblGrid>
        <w:gridCol w:w="1201"/>
        <w:gridCol w:w="1055"/>
        <w:gridCol w:w="105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Point in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Nonalcoholic Beverages -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point in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2,022,887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1,831,130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3,842,563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3,386,895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Over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Nonalcoholic Beverages - over time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 over time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over time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48,601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2,052,420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1,855,519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3,899,088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3,435,496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Due to the dissolution of the Data Ventures, Inc. operating segment as of December 31, 2025 (as discussed in Note 4), these figures have been retroactively adjusted for all prior periods presented to reflect the dissolution of the Data Ventures, Inc. operating segment within the “All Other - over time” category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allowance for doubtful accounts in the condensed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 The Company’s reserve for customer returns was $6.3 million as of July 3, 2026 and $6.0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 Following is a summary of activity for the allowance for credit losses during the first half of 2026 and the first half of 2025:</w:t>
      </w:r>
    </w:p>
    <w:p>
      <w:pPr>
        <w:pStyle w:val="TextBody"/>
        <w:bidi w:val="0"/>
        <w:spacing w:before="0" w:after="0"/>
        <w:jc w:val="left"/>
        <w:rPr/>
      </w:pPr>
      <w:r>
        <w:rPr/>
      </w:r>
    </w:p>
    <w:tbl>
      <w:tblPr>
        <w:tblW w:w="7670" w:type="dxa"/>
        <w:jc w:val="left"/>
        <w:tblInd w:w="0" w:type="dxa"/>
        <w:tblLayout w:type="fixed"/>
        <w:tblCellMar>
          <w:top w:w="28" w:type="dxa"/>
          <w:left w:w="28" w:type="dxa"/>
          <w:bottom w:w="28" w:type="dxa"/>
          <w:right w:w="28" w:type="dxa"/>
        </w:tblCellMar>
      </w:tblPr>
      <w:tblGrid>
        <w:gridCol w:w="1835"/>
        <w:gridCol w:w="1615"/>
        <w:gridCol w:w="1619"/>
        <w:gridCol w:w="109"/>
        <w:gridCol w:w="109"/>
        <w:gridCol w:w="109"/>
        <w:gridCol w:w="211"/>
        <w:gridCol w:w="631"/>
        <w:gridCol w:w="109"/>
        <w:gridCol w:w="109"/>
        <w:gridCol w:w="109"/>
        <w:gridCol w:w="109"/>
        <w:gridCol w:w="211"/>
        <w:gridCol w:w="631"/>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9,524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expenses and as a reduction to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    Segments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reporting in accordance with FASB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Segment asset information is not provided to the CODM.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operating segments, each identified by its unique products and services. Nonalcoholic Beverages represents the vast majority of the Company’s consolidated net sales and income from operations. The accounting policies of the Nonalcoholic Beverages operating segment are the same as those described in the summary of significant accounting policies presented in Note 1 to the consolidated financial statements included in the Company’s Annual Report on Form 10-K for 2025. The additional operating segment, which includes the Red Classic subsidiaries, does not meet the quantitative threshold for separate reporting and, therefore, has been reported as “All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the Company had three operating segments, Nonalcoholic Beverages and two additional operating segments, which included Data Ventures, Inc. and the Red Classic subsidiaries. Since the two additional operating segments did not meet the quantitative thresholds for separate reporting, either individually or in the aggregate, they were combined into “All Other.”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 the Data Ventures, Inc. operating segment was liquidated, dissolved and merged into the Nonalcoholic Beverages operating segment. For reporting purposes, all prior periods presented have been retroactively adjusted to reflect the dissolution of the Data Ventures, Inc. operating segment within the All Other operating segment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2026</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761,447 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495,340</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(17,438)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507,074</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266,107</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271,339</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52,634 </w:t>
            </w:r>
          </w:p>
        </w:tc>
        <w:tc>
          <w:tcPr>
            <w:tcW w:w="1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58,151 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2025</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459,796</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(16,686)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470,412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263,864</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272,084</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49,387 </w:t>
            </w:r>
          </w:p>
        </w:tc>
        <w:tc>
          <w:tcPr>
            <w:tcW w:w="1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54,765 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6"/>
        <w:gridCol w:w="1050"/>
        <w:gridCol w:w="991"/>
        <w:gridCol w:w="109"/>
        <w:gridCol w:w="109"/>
        <w:gridCol w:w="109"/>
        <w:gridCol w:w="298"/>
        <w:gridCol w:w="1380"/>
        <w:gridCol w:w="153"/>
        <w:gridCol w:w="109"/>
        <w:gridCol w:w="109"/>
        <w:gridCol w:w="109"/>
        <w:gridCol w:w="211"/>
        <w:gridCol w:w="826"/>
        <w:gridCol w:w="109"/>
        <w:gridCol w:w="109"/>
        <w:gridCol w:w="109"/>
        <w:gridCol w:w="109"/>
        <w:gridCol w:w="239"/>
        <w:gridCol w:w="955"/>
        <w:gridCol w:w="124"/>
        <w:gridCol w:w="109"/>
        <w:gridCol w:w="109"/>
        <w:gridCol w:w="109"/>
        <w:gridCol w:w="211"/>
        <w:gridCol w:w="976"/>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w:t>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3,872,764 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3,899,088 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2,401,711 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1,471,053 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1,505,493 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973,568</w:t>
            </w: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(35,991)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996,630</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497,485</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508,863</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104,224 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115,053 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6"/>
        <w:gridCol w:w="1050"/>
        <w:gridCol w:w="991"/>
        <w:gridCol w:w="109"/>
        <w:gridCol w:w="109"/>
        <w:gridCol w:w="109"/>
        <w:gridCol w:w="298"/>
        <w:gridCol w:w="1380"/>
        <w:gridCol w:w="153"/>
        <w:gridCol w:w="109"/>
        <w:gridCol w:w="109"/>
        <w:gridCol w:w="109"/>
        <w:gridCol w:w="211"/>
        <w:gridCol w:w="826"/>
        <w:gridCol w:w="109"/>
        <w:gridCol w:w="109"/>
        <w:gridCol w:w="109"/>
        <w:gridCol w:w="109"/>
        <w:gridCol w:w="239"/>
        <w:gridCol w:w="955"/>
        <w:gridCol w:w="124"/>
        <w:gridCol w:w="109"/>
        <w:gridCol w:w="109"/>
        <w:gridCol w:w="109"/>
        <w:gridCol w:w="211"/>
        <w:gridCol w:w="976"/>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2025</w:t>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3,414,158 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(134,174)</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3,435,496 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1,337,822 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1,369,600 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886,715</w:t>
            </w: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(33,561)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907,696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451,107</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461,904</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97,437 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108,138 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entire net sales elimination represents net sales from the All Other operating segment to the Nonalcoholic Beverages operating segment. The entire cost of goods sold and SD&amp;A eliminations represent costs incurred by the All Other operating segment in the generation of net sales to the Nonalcoholic Beverages operating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Payroll costs includes compensation, incentive plans, defined contribution plans, healthcare benefits and tax-advantaged spending accounts.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Fleet costs includes fleet repairs, maintenance and fuel and oil costs.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All other segment items includes information technology costs, stewardship, insurance and other costs incurred in the selling and delivery of the Company’s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5.    Net Income Per Share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net income per share and diluted net income per share under the two-class method: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7"/>
        <w:gridCol w:w="1286"/>
        <w:gridCol w:w="1294"/>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62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247,409</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247,409</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247,409</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134,849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165,755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229,566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257,434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Class B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33,564</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 assumed converted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270,377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290,998</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Class B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33,918</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basic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weighted 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diluted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weighted average shares outstanding – diluted (assumes conversion of Class B Common Stock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weighted 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7811" w:type="dxa"/>
        <w:jc w:val="left"/>
        <w:tblInd w:w="0" w:type="dxa"/>
        <w:tblLayout w:type="fixed"/>
        <w:tblCellMar>
          <w:top w:w="28" w:type="dxa"/>
          <w:left w:w="28" w:type="dxa"/>
          <w:bottom w:w="28" w:type="dxa"/>
          <w:right w:w="28" w:type="dxa"/>
        </w:tblCellMar>
      </w:tblPr>
      <w:tblGrid>
        <w:gridCol w:w="1134"/>
        <w:gridCol w:w="997"/>
        <w:gridCol w:w="1003"/>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TABLE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 purposes of the diluted net income per share computation for Common Stock, all shares of Class B Common Stock are assumed to be converted; therefore, 100% of undistributed earnings is allocated to Common Stock.</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purposes of the diluted net income per share computation for Class B Common Stock, weighted average shares of Class B Common Stock are assumed to be outstanding for the entire period and not converted.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For periods presented during which the Company has net income, the denominator for diluted net income per share for Common Stock and Class B Common Stock includes the dilutive effect of unvested performance shares relative to the </w:t>
      </w:r>
      <w:r>
        <w:rPr>
          <w:rFonts w:ascii="Times New Roman;serif" w:hAnsi="Times New Roman;serif"/>
          <w:b w:val="false"/>
          <w:color w:val="000000"/>
          <w:sz w:val="20"/>
          <w:shd w:fill="FFFFFF" w:val="clear"/>
        </w:rPr>
        <w:t>Long-Term Performance Equity Plan</w:t>
      </w:r>
      <w:r>
        <w:rPr>
          <w:rFonts w:ascii="Times New Roman;serif" w:hAnsi="Times New Roman;serif"/>
          <w:b w:val="false"/>
          <w:color w:val="000000"/>
          <w:sz w:val="20"/>
        </w:rPr>
        <w:t xml:space="preserve">. For periods presented during which the Company has net loss, the unvested performance shares granted pursuant to the </w:t>
      </w:r>
      <w:r>
        <w:rPr>
          <w:rFonts w:ascii="Times New Roman;serif" w:hAnsi="Times New Roman;serif"/>
          <w:b w:val="false"/>
          <w:color w:val="000000"/>
          <w:sz w:val="20"/>
          <w:shd w:fill="FFFFFF" w:val="clear"/>
        </w:rPr>
        <w:t xml:space="preserve">Long-Term Performance Equity Plan </w:t>
      </w:r>
      <w:r>
        <w:rPr>
          <w:rFonts w:ascii="Times New Roman;serif" w:hAnsi="Times New Roman;serif"/>
          <w:b w:val="false"/>
          <w:color w:val="000000"/>
          <w:sz w:val="20"/>
        </w:rPr>
        <w:t xml:space="preserve">are excluded from the computation of diluted net loss per share, as the effect would have been anti-dilutive. See Note 2 for additional information on the </w:t>
      </w:r>
      <w:r>
        <w:rPr>
          <w:rFonts w:ascii="Times New Roman;serif" w:hAnsi="Times New Roman;serif"/>
          <w:b w:val="false"/>
          <w:color w:val="000000"/>
          <w:sz w:val="20"/>
          <w:shd w:fill="FFFFFF" w:val="clear"/>
        </w:rPr>
        <w:t>Long-Term Performance Equity Plan</w:t>
      </w:r>
      <w:r>
        <w:rPr>
          <w:rFonts w:ascii="Times New Roman;serif" w:hAnsi="Times New Roman;serif"/>
          <w:b w:val="false"/>
          <w:color w:val="000000"/>
          <w:sz w:val="20"/>
        </w:rPr>
        <w:t>.</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Long-Term Performance Equity Plan awards may be settled in cash and/or shares of Class B Common Stock. Once an election has been made to settle an award in cash, the dilutive effect of unvested performance shares relative to such award is prospectively removed from the denominator in the computation of diluted net income per share.</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Company did not have anti-dilutive unvested performance shares for any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On November 7, 2025, the Company entered into the Repurchase Agreement with the</w:t>
      </w:r>
      <w:r>
        <w:rPr>
          <w:color w:val="000000"/>
        </w:rPr>
        <w:t xml:space="preserve"> </w:t>
      </w:r>
      <w:r>
        <w:rPr>
          <w:rFonts w:ascii="Times New Roman;serif" w:hAnsi="Times New Roman;serif"/>
          <w:b w:val="false"/>
          <w:color w:val="000000"/>
          <w:sz w:val="20"/>
        </w:rPr>
        <w:t>Seller, The Coca-Cola Company and J. Frank Harrison, III, pursuant to which the Company agreed to purchase and the Seller agreed to sell all 18,835,460 of the Seller’s shares of Common Stock.</w:t>
      </w:r>
    </w:p>
    <w:p>
      <w:pPr>
        <w:pStyle w:val="TextBody"/>
        <w:bidi w:val="0"/>
        <w:spacing w:lineRule="auto" w:line="288" w:before="0" w:after="0"/>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On March 4, 2025, the Company announced that its Board of Directors had approved the Stock Split of Common Stock and Class B Common Stock. The Stock Split was effected through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w:t>
      </w:r>
    </w:p>
    <w:p>
      <w:pPr>
        <w:pStyle w:val="TextBody"/>
        <w:bidi w:val="0"/>
        <w:spacing w:lineRule="auto" w:line="288" w:before="0" w:after="0"/>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share repurchase authorization is discretionary and has no expiration date. There were no shares of Common Stock repurchased under the Share Repurchase Program during the first half of 2026. As of July 3, 2026, the total remaining authorization under the Share Repurchase Program was $136.3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p>
      <w:pPr>
        <w:pStyle w:val="TextBody"/>
        <w:bidi w:val="0"/>
        <w:spacing w:before="0" w:after="0"/>
        <w:jc w:val="left"/>
        <w:rPr/>
      </w:pPr>
      <w:r>
        <w:rPr/>
      </w:r>
    </w:p>
    <w:tbl>
      <w:tblPr>
        <w:tblW w:w="7740" w:type="dxa"/>
        <w:jc w:val="left"/>
        <w:tblInd w:w="0" w:type="dxa"/>
        <w:tblLayout w:type="fixed"/>
        <w:tblCellMar>
          <w:top w:w="28" w:type="dxa"/>
          <w:left w:w="28" w:type="dxa"/>
          <w:bottom w:w="28" w:type="dxa"/>
          <w:right w:w="28" w:type="dxa"/>
        </w:tblCellMar>
      </w:tblPr>
      <w:tblGrid>
        <w:gridCol w:w="1503"/>
        <w:gridCol w:w="1325"/>
        <w:gridCol w:w="1327"/>
        <w:gridCol w:w="109"/>
        <w:gridCol w:w="109"/>
        <w:gridCol w:w="109"/>
        <w:gridCol w:w="211"/>
        <w:gridCol w:w="841"/>
        <w:gridCol w:w="109"/>
        <w:gridCol w:w="109"/>
        <w:gridCol w:w="109"/>
        <w:gridCol w:w="109"/>
        <w:gridCol w:w="309"/>
        <w:gridCol w:w="1235"/>
        <w:gridCol w:w="226"/>
      </w:tblGrid>
      <w:tr>
        <w:trPr/>
        <w:tc>
          <w:tcPr>
            <w:tcW w:w="15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218,380 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Plastic shells, plastic pallets and other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336,401</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7.    Prepaid Expenses and Other Current Assets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p>
      <w:pPr>
        <w:pStyle w:val="TextBody"/>
        <w:bidi w:val="0"/>
        <w:spacing w:before="0" w:after="0"/>
        <w:jc w:val="left"/>
        <w:rPr/>
      </w:pPr>
      <w:r>
        <w:rPr/>
      </w:r>
    </w:p>
    <w:tbl>
      <w:tblPr>
        <w:tblW w:w="7709" w:type="dxa"/>
        <w:jc w:val="left"/>
        <w:tblInd w:w="0" w:type="dxa"/>
        <w:tblLayout w:type="fixed"/>
        <w:tblCellMar>
          <w:top w:w="28" w:type="dxa"/>
          <w:left w:w="28" w:type="dxa"/>
          <w:bottom w:w="28" w:type="dxa"/>
          <w:right w:w="28" w:type="dxa"/>
        </w:tblCellMar>
      </w:tblPr>
      <w:tblGrid>
        <w:gridCol w:w="1494"/>
        <w:gridCol w:w="1312"/>
        <w:gridCol w:w="1318"/>
        <w:gridCol w:w="109"/>
        <w:gridCol w:w="109"/>
        <w:gridCol w:w="109"/>
        <w:gridCol w:w="211"/>
        <w:gridCol w:w="841"/>
        <w:gridCol w:w="109"/>
        <w:gridCol w:w="109"/>
        <w:gridCol w:w="109"/>
        <w:gridCol w:w="109"/>
        <w:gridCol w:w="309"/>
        <w:gridCol w:w="1235"/>
        <w:gridCol w:w="22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hedges at fair market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108,668</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8.    Property, Plant and Equipment,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categories and estimated useful lives of property, plant and equipment, net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6"/>
        <w:gridCol w:w="1310"/>
        <w:gridCol w:w="1315"/>
        <w:gridCol w:w="109"/>
        <w:gridCol w:w="109"/>
        <w:gridCol w:w="109"/>
        <w:gridCol w:w="211"/>
        <w:gridCol w:w="991"/>
        <w:gridCol w:w="109"/>
        <w:gridCol w:w="109"/>
        <w:gridCol w:w="109"/>
        <w:gridCol w:w="109"/>
        <w:gridCol w:w="276"/>
        <w:gridCol w:w="1300"/>
        <w:gridCol w:w="142"/>
        <w:gridCol w:w="109"/>
        <w:gridCol w:w="109"/>
        <w:gridCol w:w="109"/>
        <w:gridCol w:w="605"/>
        <w:gridCol w:w="605"/>
        <w:gridCol w:w="864"/>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41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8-50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5-20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Cold drink dispensing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3-17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5-20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for internal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3,042,825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2,950,928</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1,638,914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1,604,605</w:t>
            </w:r>
            <w:r>
              <w:rPr>
                <w:color w:val="000000"/>
              </w:rPr>
              <w:t>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weighted average remaining lease term and the weighted average discount rate for the Company’s leases:</w:t>
      </w:r>
    </w:p>
    <w:p>
      <w:pPr>
        <w:pStyle w:val="TextBody"/>
        <w:bidi w:val="0"/>
        <w:spacing w:before="0" w:after="0"/>
        <w:jc w:val="left"/>
        <w:rPr/>
      </w:pPr>
      <w:r>
        <w:rPr/>
      </w:r>
    </w:p>
    <w:tbl>
      <w:tblPr>
        <w:tblW w:w="7133"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254"/>
        <w:gridCol w:w="254"/>
        <w:gridCol w:w="632"/>
        <w:gridCol w:w="109"/>
        <w:gridCol w:w="109"/>
        <w:gridCol w:w="109"/>
        <w:gridCol w:w="360"/>
        <w:gridCol w:w="360"/>
        <w:gridCol w:w="1049"/>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leases within the condensed consolidated statements of operations:</w:t>
      </w:r>
    </w:p>
    <w:p>
      <w:pPr>
        <w:pStyle w:val="TextBody"/>
        <w:bidi w:val="0"/>
        <w:spacing w:before="0" w:after="0"/>
        <w:jc w:val="left"/>
        <w:rPr/>
      </w:pPr>
      <w:r>
        <w:rPr/>
      </w:r>
    </w:p>
    <w:tbl>
      <w:tblPr>
        <w:tblW w:w="9296" w:type="dxa"/>
        <w:jc w:val="left"/>
        <w:tblInd w:w="0" w:type="dxa"/>
        <w:tblLayout w:type="fixed"/>
        <w:tblCellMar>
          <w:top w:w="28" w:type="dxa"/>
          <w:left w:w="28" w:type="dxa"/>
          <w:bottom w:w="28" w:type="dxa"/>
          <w:right w:w="28" w:type="dxa"/>
        </w:tblCellMar>
      </w:tblPr>
      <w:tblGrid>
        <w:gridCol w:w="1422"/>
        <w:gridCol w:w="1253"/>
        <w:gridCol w:w="1254"/>
        <w:gridCol w:w="109"/>
        <w:gridCol w:w="109"/>
        <w:gridCol w:w="109"/>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variable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from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future minimum lease payments related to the Company’s leases include renewal options the Company has determined to be reasonably certain and exclude payments to landlords for real estate taxes and common area maintenance. Following is a summary of future minimum lease payments for all noncancelable operating leases and financing leases as of July 3, 2026:</w:t>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1624"/>
        <w:gridCol w:w="1429"/>
        <w:gridCol w:w="1431"/>
        <w:gridCol w:w="109"/>
        <w:gridCol w:w="109"/>
        <w:gridCol w:w="109"/>
        <w:gridCol w:w="289"/>
        <w:gridCol w:w="1152"/>
        <w:gridCol w:w="149"/>
        <w:gridCol w:w="109"/>
        <w:gridCol w:w="109"/>
        <w:gridCol w:w="109"/>
        <w:gridCol w:w="343"/>
        <w:gridCol w:w="1026"/>
        <w:gridCol w:w="251"/>
      </w:tblGrid>
      <w:tr>
        <w:trPr/>
        <w:tc>
          <w:tcPr>
            <w:tcW w:w="16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4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4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 including interest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124,321</w:t>
            </w:r>
            <w:r>
              <w:rPr>
                <w:color w:val="000000"/>
              </w:rPr>
              <w:t> </w:t>
            </w:r>
          </w:p>
        </w:tc>
        <w:tc>
          <w:tcPr>
            <w:tcW w:w="14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1,617</w:t>
            </w:r>
            <w:r>
              <w:rPr>
                <w:color w:val="000000"/>
              </w:rPr>
              <w:t> </w:t>
            </w:r>
          </w:p>
        </w:tc>
        <w:tc>
          <w:tcPr>
            <w:tcW w:w="2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minimum lease principal payments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108,512</w:t>
            </w:r>
            <w:r>
              <w:rPr>
                <w:color w:val="000000"/>
              </w:rPr>
              <w:t> </w:t>
            </w:r>
          </w:p>
        </w:tc>
        <w:tc>
          <w:tcPr>
            <w:tcW w:w="14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1,469</w:t>
            </w:r>
            <w:r>
              <w:rPr>
                <w:color w:val="000000"/>
              </w:rPr>
              <w:t> </w:t>
            </w:r>
          </w:p>
        </w:tc>
        <w:tc>
          <w:tcPr>
            <w:tcW w:w="2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84,875</w:t>
            </w:r>
            <w:r>
              <w:rPr>
                <w:color w:val="000000"/>
              </w:rPr>
              <w:t> </w:t>
            </w:r>
          </w:p>
        </w:tc>
        <w:tc>
          <w:tcPr>
            <w:tcW w:w="14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w:t>
            </w:r>
            <w:r>
              <w:rPr>
                <w:color w:val="000000"/>
              </w:rPr>
              <w:t> </w:t>
            </w:r>
          </w:p>
        </w:tc>
        <w:tc>
          <w:tcPr>
            <w:tcW w:w="25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future minimum lease payments for all noncancelable operating leases and financing leases as of December 31, 2025:</w:t>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1623"/>
        <w:gridCol w:w="1429"/>
        <w:gridCol w:w="1432"/>
        <w:gridCol w:w="109"/>
        <w:gridCol w:w="109"/>
        <w:gridCol w:w="109"/>
        <w:gridCol w:w="289"/>
        <w:gridCol w:w="1152"/>
        <w:gridCol w:w="149"/>
        <w:gridCol w:w="109"/>
        <w:gridCol w:w="109"/>
        <w:gridCol w:w="109"/>
        <w:gridCol w:w="343"/>
        <w:gridCol w:w="1026"/>
        <w:gridCol w:w="251"/>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4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 including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137,734</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minimum lease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119,488</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1,744</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95,076</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leases within the condensed consolidated statements of cash flows:</w:t>
      </w:r>
    </w:p>
    <w:p>
      <w:pPr>
        <w:pStyle w:val="TextBody"/>
        <w:bidi w:val="0"/>
        <w:spacing w:before="0" w:after="0"/>
        <w:jc w:val="left"/>
        <w:rPr/>
      </w:pPr>
      <w:r>
        <w:rPr/>
      </w:r>
    </w:p>
    <w:tbl>
      <w:tblPr>
        <w:tblW w:w="7070" w:type="dxa"/>
        <w:jc w:val="left"/>
        <w:tblInd w:w="0" w:type="dxa"/>
        <w:tblLayout w:type="fixed"/>
        <w:tblCellMar>
          <w:top w:w="28" w:type="dxa"/>
          <w:left w:w="28" w:type="dxa"/>
          <w:bottom w:w="28" w:type="dxa"/>
          <w:right w:w="28" w:type="dxa"/>
        </w:tblCellMar>
      </w:tblPr>
      <w:tblGrid>
        <w:gridCol w:w="1542"/>
        <w:gridCol w:w="1357"/>
        <w:gridCol w:w="1360"/>
        <w:gridCol w:w="109"/>
        <w:gridCol w:w="109"/>
        <w:gridCol w:w="109"/>
        <w:gridCol w:w="211"/>
        <w:gridCol w:w="736"/>
        <w:gridCol w:w="109"/>
        <w:gridCol w:w="109"/>
        <w:gridCol w:w="109"/>
        <w:gridCol w:w="109"/>
        <w:gridCol w:w="211"/>
        <w:gridCol w:w="73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flows from operating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flows from financing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Distribution Agreements,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agreements, net, which are amortized on a straight-line basis and have estimated useful lives of 20 to 40 years, consisted of the following:</w:t>
      </w:r>
    </w:p>
    <w:p>
      <w:pPr>
        <w:pStyle w:val="TextBody"/>
        <w:bidi w:val="0"/>
        <w:spacing w:before="0" w:after="0"/>
        <w:jc w:val="left"/>
        <w:rPr/>
      </w:pPr>
      <w:r>
        <w:rPr/>
      </w:r>
    </w:p>
    <w:tbl>
      <w:tblPr>
        <w:tblW w:w="6329"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11"/>
        <w:gridCol w:w="841"/>
        <w:gridCol w:w="109"/>
        <w:gridCol w:w="109"/>
        <w:gridCol w:w="109"/>
        <w:gridCol w:w="109"/>
        <w:gridCol w:w="309"/>
        <w:gridCol w:w="1235"/>
        <w:gridCol w:w="22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agreements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 agreements,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754,915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767,360</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11.    Customer Lists,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lists, net, which are amortized on a straight-line basis and have estimated useful lives of five to 12 years, consisted of the following:</w:t>
      </w:r>
    </w:p>
    <w:p>
      <w:pPr>
        <w:pStyle w:val="TextBody"/>
        <w:bidi w:val="0"/>
        <w:spacing w:before="0" w:after="0"/>
        <w:jc w:val="left"/>
        <w:rPr/>
      </w:pPr>
      <w:r>
        <w:rPr/>
      </w:r>
    </w:p>
    <w:tbl>
      <w:tblPr>
        <w:tblW w:w="6309" w:type="dxa"/>
        <w:jc w:val="left"/>
        <w:tblInd w:w="0" w:type="dxa"/>
        <w:tblLayout w:type="fixed"/>
        <w:tblCellMar>
          <w:top w:w="28" w:type="dxa"/>
          <w:left w:w="28" w:type="dxa"/>
          <w:bottom w:w="28" w:type="dxa"/>
          <w:right w:w="28" w:type="dxa"/>
        </w:tblCellMar>
      </w:tblPr>
      <w:tblGrid>
        <w:gridCol w:w="994"/>
        <w:gridCol w:w="875"/>
        <w:gridCol w:w="876"/>
        <w:gridCol w:w="109"/>
        <w:gridCol w:w="109"/>
        <w:gridCol w:w="109"/>
        <w:gridCol w:w="231"/>
        <w:gridCol w:w="790"/>
        <w:gridCol w:w="119"/>
        <w:gridCol w:w="109"/>
        <w:gridCol w:w="109"/>
        <w:gridCol w:w="109"/>
        <w:gridCol w:w="344"/>
        <w:gridCol w:w="1175"/>
        <w:gridCol w:w="251"/>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lists,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3,451</w:t>
            </w:r>
            <w:r>
              <w:rPr>
                <w:color w:val="000000"/>
              </w:rPr>
              <w:t>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4,257</w:t>
            </w: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Supply Chain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an agreement with a third-party financial institution to facilitate a supply chain finance program (the “SCF program”), which allows qualifying suppliers to sell their receivables from the Company to the financial institution. The participating suppliers negotiate their outstanding receivable arrangements and associated fees directly with the financial institution, and the Company is not party to those agreements. Once a qualifying supplier elects to participate in the SCF program and reaches an agreement with the financial institution, the supplier elects which individual Company invoices it sells to the financial institution. A supplier participating in the SCF program may sell its invoices to the financial institution for payment in full by the financial institution to the supplier by the original maturity date of the invoice, or discounted payment at an earlier date as agreed upon with the supplier. The Company’s current payment terms with most of its suppliers are 90 days. The Company’s obligations to its suppliers, including amounts due and scheduled payment terms, are not impacted by a supplier’s participation in the SCF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outstanding amounts related to suppliers participating in the SCF program are recorded in accounts payable, trade in the condensed consolidated balance sheets, and associated payments are included in operating activities in the condensed consolidated statements of cash flows. The Company’s outstanding confirmed obligations included in accounts payable, trade in the condensed consolidated balance sheets were $88.5 million as of July 3, 2026 and $66.6 million as of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    Other Accrued Liabilities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p>
      <w:pPr>
        <w:pStyle w:val="TextBody"/>
        <w:bidi w:val="0"/>
        <w:spacing w:before="0" w:after="0"/>
        <w:jc w:val="left"/>
        <w:rPr/>
      </w:pPr>
      <w:r>
        <w:rPr/>
      </w:r>
    </w:p>
    <w:tbl>
      <w:tblPr>
        <w:tblW w:w="8819" w:type="dxa"/>
        <w:jc w:val="left"/>
        <w:tblInd w:w="0" w:type="dxa"/>
        <w:tblLayout w:type="fixed"/>
        <w:tblCellMar>
          <w:top w:w="28" w:type="dxa"/>
          <w:left w:w="28" w:type="dxa"/>
          <w:bottom w:w="28" w:type="dxa"/>
          <w:right w:w="28" w:type="dxa"/>
        </w:tblCellMar>
      </w:tblPr>
      <w:tblGrid>
        <w:gridCol w:w="1895"/>
        <w:gridCol w:w="1667"/>
        <w:gridCol w:w="1672"/>
        <w:gridCol w:w="109"/>
        <w:gridCol w:w="109"/>
        <w:gridCol w:w="109"/>
        <w:gridCol w:w="211"/>
        <w:gridCol w:w="841"/>
        <w:gridCol w:w="109"/>
        <w:gridCol w:w="109"/>
        <w:gridCol w:w="109"/>
        <w:gridCol w:w="109"/>
        <w:gridCol w:w="309"/>
        <w:gridCol w:w="1235"/>
        <w:gridCol w:w="226"/>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and retiree benefit plan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excise taxes related to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298,033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307,237</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14.    Commodity Derivative Instruments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the risk of increased costs arising from adverse changes in certain commodity prices. In the normal course of business, the Company manages this risk, where practicable, through a variety of strategies, including the use of 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Commodity derivative instruments held by the Company are marked to market on a quarterly basis and are recognized in earnings consistent with the expense classification of the underlying hedged item. The Company generally pays a fee for these commodity derivative instruments, which is amortized over the corresponding period of each commodity derivative instrument. Settlements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commodity derivative instruments are included in cash flows from operating activities in the condensed consolidated statements of cash flows. The following table summarizes pre-tax changes in the fair values of the Company’s commodity derivative instruments and the classification of such changes in the condensed consolidated statements of operations:</w:t>
      </w:r>
    </w:p>
    <w:p>
      <w:pPr>
        <w:pStyle w:val="TextBody"/>
        <w:bidi w:val="0"/>
        <w:spacing w:before="0" w:after="0"/>
        <w:jc w:val="left"/>
        <w:rPr/>
      </w:pPr>
      <w:r>
        <w:rPr/>
      </w:r>
    </w:p>
    <w:tbl>
      <w:tblPr>
        <w:tblW w:w="9192" w:type="dxa"/>
        <w:jc w:val="left"/>
        <w:tblInd w:w="0" w:type="dxa"/>
        <w:tblLayout w:type="fixed"/>
        <w:tblCellMar>
          <w:top w:w="28" w:type="dxa"/>
          <w:left w:w="28" w:type="dxa"/>
          <w:bottom w:w="28" w:type="dxa"/>
          <w:right w:w="28" w:type="dxa"/>
        </w:tblCellMar>
      </w:tblPr>
      <w:tblGrid>
        <w:gridCol w:w="1378"/>
        <w:gridCol w:w="1213"/>
        <w:gridCol w:w="1219"/>
        <w:gridCol w:w="109"/>
        <w:gridCol w:w="109"/>
        <w:gridCol w:w="109"/>
        <w:gridCol w:w="211"/>
        <w:gridCol w:w="796"/>
        <w:gridCol w:w="109"/>
        <w:gridCol w:w="109"/>
        <w:gridCol w:w="109"/>
        <w:gridCol w:w="109"/>
        <w:gridCol w:w="211"/>
        <w:gridCol w:w="631"/>
        <w:gridCol w:w="109"/>
        <w:gridCol w:w="109"/>
        <w:gridCol w:w="109"/>
        <w:gridCol w:w="109"/>
        <w:gridCol w:w="211"/>
        <w:gridCol w:w="691"/>
        <w:gridCol w:w="109"/>
        <w:gridCol w:w="109"/>
        <w:gridCol w:w="109"/>
        <w:gridCol w:w="109"/>
        <w:gridCol w:w="211"/>
        <w:gridCol w:w="631"/>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commodity derivative instruments are recorded at fair value as either assets or liabilities in the condensed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 assets or other assets in the condensed consolidated balance sheets and the net amounts of derivative liabilities are recognized in either other accrued liabilities or other liabilities in the condensed consolidated balance sheets. The following table summarizes the fair values of the Company’s commodity derivative instruments and the classification of such instruments in the condensed consolidated balance sheets:</w:t>
      </w:r>
    </w:p>
    <w:p>
      <w:pPr>
        <w:pStyle w:val="TextBody"/>
        <w:bidi w:val="0"/>
        <w:spacing w:before="0" w:after="0"/>
        <w:jc w:val="left"/>
        <w:rPr/>
      </w:pPr>
      <w:r>
        <w:rPr/>
      </w:r>
    </w:p>
    <w:tbl>
      <w:tblPr>
        <w:tblW w:w="7013" w:type="dxa"/>
        <w:jc w:val="left"/>
        <w:tblInd w:w="0" w:type="dxa"/>
        <w:tblLayout w:type="fixed"/>
        <w:tblCellMar>
          <w:top w:w="28" w:type="dxa"/>
          <w:left w:w="28" w:type="dxa"/>
          <w:bottom w:w="28" w:type="dxa"/>
          <w:right w:w="28" w:type="dxa"/>
        </w:tblCellMar>
      </w:tblPr>
      <w:tblGrid>
        <w:gridCol w:w="1249"/>
        <w:gridCol w:w="1099"/>
        <w:gridCol w:w="1102"/>
        <w:gridCol w:w="109"/>
        <w:gridCol w:w="109"/>
        <w:gridCol w:w="109"/>
        <w:gridCol w:w="253"/>
        <w:gridCol w:w="757"/>
        <w:gridCol w:w="130"/>
        <w:gridCol w:w="109"/>
        <w:gridCol w:w="109"/>
        <w:gridCol w:w="109"/>
        <w:gridCol w:w="374"/>
        <w:gridCol w:w="1121"/>
        <w:gridCol w:w="27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6,813</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4,242</w:t>
            </w:r>
            <w:r>
              <w:rPr>
                <w:color w:val="000000"/>
              </w:rPr>
              <w:t>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3,347</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gross commodity derivative instrument assets and gross commodity derivative instrument liabilities in the condensed consolidated balance sheets:</w:t>
      </w:r>
    </w:p>
    <w:p>
      <w:pPr>
        <w:pStyle w:val="TextBody"/>
        <w:bidi w:val="0"/>
        <w:spacing w:before="0" w:after="0"/>
        <w:jc w:val="left"/>
        <w:rPr/>
      </w:pPr>
      <w:r>
        <w:rPr/>
      </w:r>
    </w:p>
    <w:tbl>
      <w:tblPr>
        <w:tblW w:w="7717" w:type="dxa"/>
        <w:jc w:val="left"/>
        <w:tblInd w:w="0" w:type="dxa"/>
        <w:tblLayout w:type="fixed"/>
        <w:tblCellMar>
          <w:top w:w="28" w:type="dxa"/>
          <w:left w:w="28" w:type="dxa"/>
          <w:bottom w:w="28" w:type="dxa"/>
          <w:right w:w="28" w:type="dxa"/>
        </w:tblCellMar>
      </w:tblPr>
      <w:tblGrid>
        <w:gridCol w:w="1504"/>
        <w:gridCol w:w="1323"/>
        <w:gridCol w:w="1327"/>
        <w:gridCol w:w="109"/>
        <w:gridCol w:w="109"/>
        <w:gridCol w:w="109"/>
        <w:gridCol w:w="231"/>
        <w:gridCol w:w="790"/>
        <w:gridCol w:w="119"/>
        <w:gridCol w:w="109"/>
        <w:gridCol w:w="109"/>
        <w:gridCol w:w="109"/>
        <w:gridCol w:w="380"/>
        <w:gridCol w:w="1110"/>
        <w:gridCol w:w="279"/>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commodity derivative instrument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commodity derivative instrument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commodity derivative instruments: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0"/>
        <w:gridCol w:w="1175"/>
        <w:gridCol w:w="1171"/>
        <w:gridCol w:w="109"/>
        <w:gridCol w:w="109"/>
        <w:gridCol w:w="109"/>
        <w:gridCol w:w="322"/>
        <w:gridCol w:w="182"/>
        <w:gridCol w:w="182"/>
        <w:gridCol w:w="182"/>
        <w:gridCol w:w="182"/>
        <w:gridCol w:w="170"/>
        <w:gridCol w:w="109"/>
        <w:gridCol w:w="109"/>
        <w:gridCol w:w="109"/>
        <w:gridCol w:w="431"/>
        <w:gridCol w:w="316"/>
        <w:gridCol w:w="159"/>
        <w:gridCol w:w="159"/>
        <w:gridCol w:w="159"/>
        <w:gridCol w:w="112"/>
        <w:gridCol w:w="109"/>
        <w:gridCol w:w="109"/>
        <w:gridCol w:w="109"/>
        <w:gridCol w:w="304"/>
        <w:gridCol w:w="200"/>
        <w:gridCol w:w="200"/>
        <w:gridCol w:w="200"/>
        <w:gridCol w:w="201"/>
        <w:gridCol w:w="160"/>
        <w:gridCol w:w="109"/>
        <w:gridCol w:w="109"/>
        <w:gridCol w:w="109"/>
        <w:gridCol w:w="386"/>
        <w:gridCol w:w="282"/>
        <w:gridCol w:w="167"/>
        <w:gridCol w:w="167"/>
        <w:gridCol w:w="167"/>
        <w:gridCol w:w="181"/>
      </w:tblGrid>
      <w:tr>
        <w:trPr/>
        <w:tc>
          <w:tcPr>
            <w:tcW w:w="138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6"/>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Fuel</w:t>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notional amount of outstanding 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4"/>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4"/>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4"/>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4"/>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via call and swap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gal</w:t>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via put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gal</w:t>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Latest maturity date of outstanding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15.    Fair Values of Financial Instruments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 requires assets and liabilities carried at fair value to be classified and disclosed in one of the following categories: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Observable market-based inputs or unobservable inputs that are corroborated by market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Unobservable inputs that are not corroborated by market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below methods and assumptions were used by the Company in estimating the fair values of its financial instruments. There were no transfers of assets or liabilities between levels in any period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1"/>
        <w:gridCol w:w="432"/>
        <w:gridCol w:w="435"/>
        <w:gridCol w:w="109"/>
        <w:gridCol w:w="109"/>
        <w:gridCol w:w="109"/>
        <w:gridCol w:w="214"/>
        <w:gridCol w:w="214"/>
        <w:gridCol w:w="215"/>
        <w:gridCol w:w="109"/>
        <w:gridCol w:w="109"/>
        <w:gridCol w:w="109"/>
        <w:gridCol w:w="2315"/>
        <w:gridCol w:w="2086"/>
        <w:gridCol w:w="2959"/>
      </w:tblGrid>
      <w:tr>
        <w:trPr/>
        <w:tc>
          <w:tcPr>
            <w:tcW w:w="6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Methods and Assumptions</w:t>
            </w:r>
          </w:p>
        </w:tc>
      </w:tr>
      <w:tr>
        <w:trPr/>
        <w:tc>
          <w:tcPr>
            <w:tcW w:w="15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nonqualified deferred compensation plan for certain executives and other highly compensated employees is based on the fair values of associated assets and liabilities, which are held in mutual funds and are based on the quoted market prices of the securities held within the mutual funds.</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commodity derivative instruments are based on current settlement values at each balance sheet date, which represent the estimated amounts the Company would have received or paid upon termination of those instruments. The Company’s credit risk related to the commodity derivative instruments is managed by requiring high standards for its counterparties and periodic settlements. The Company considers nonperformance risk in determining the fair values of commodity derivative instruments.</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interest rate swaps are determined using standard calculations and valuation models. The significant inputs used in these standard calculations/valuation models are readily available in public markets or can be derived from observable market transactions and, therefore, have been classified as Level 2. Inputs used in these standard calculations/valuation models for derivative instruments include swap rates, interest rates and discount rates. The discount rates are based on the historical U.S. deposit rates, U.S. Treasury rates and/or U.S. swap rates. The Company’s credit risk related to the interest rate swaps is managed by requiring high standards for its counterparties and periodic settlements.</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variable rate debt approximate the fair values due to variable interest rates with short reset periods. The fair values of the Company’s fixed rate debt are based on estimated current market prices.</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acquisition related contingent consideration is based on internal forecasts and the weighted average cost of capital (“WACC”) derived from market data.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carrying amounts and the fair values by level of the Company’s deferred compensation plan assets and liabilities, commodity derivative instruments, interest rate swaps, debt and acquisition related contingent consideration: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2"/>
        <w:gridCol w:w="951"/>
        <w:gridCol w:w="94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33"/>
        <w:gridCol w:w="643"/>
        <w:gridCol w:w="139"/>
        <w:gridCol w:w="109"/>
        <w:gridCol w:w="109"/>
        <w:gridCol w:w="109"/>
        <w:gridCol w:w="291"/>
        <w:gridCol w:w="552"/>
        <w:gridCol w:w="196"/>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r>
      <w:tr>
        <w:trPr/>
        <w:tc>
          <w:tcPr>
            <w:tcW w:w="2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3</w:t>
            </w:r>
          </w:p>
        </w:tc>
      </w:tr>
      <w:tr>
        <w:trPr/>
        <w:tc>
          <w:tcPr>
            <w:tcW w:w="2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9"/>
        <w:gridCol w:w="1019"/>
        <w:gridCol w:w="1015"/>
        <w:gridCol w:w="109"/>
        <w:gridCol w:w="109"/>
        <w:gridCol w:w="109"/>
        <w:gridCol w:w="220"/>
        <w:gridCol w:w="756"/>
        <w:gridCol w:w="109"/>
        <w:gridCol w:w="109"/>
        <w:gridCol w:w="109"/>
        <w:gridCol w:w="109"/>
        <w:gridCol w:w="220"/>
        <w:gridCol w:w="756"/>
        <w:gridCol w:w="109"/>
        <w:gridCol w:w="109"/>
        <w:gridCol w:w="109"/>
        <w:gridCol w:w="109"/>
        <w:gridCol w:w="211"/>
        <w:gridCol w:w="721"/>
        <w:gridCol w:w="109"/>
        <w:gridCol w:w="109"/>
        <w:gridCol w:w="109"/>
        <w:gridCol w:w="109"/>
        <w:gridCol w:w="333"/>
        <w:gridCol w:w="643"/>
        <w:gridCol w:w="142"/>
        <w:gridCol w:w="109"/>
        <w:gridCol w:w="109"/>
        <w:gridCol w:w="109"/>
        <w:gridCol w:w="291"/>
        <w:gridCol w:w="555"/>
        <w:gridCol w:w="202"/>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3</w:t>
            </w:r>
          </w:p>
        </w:tc>
      </w:tr>
      <w:tr>
        <w:trPr/>
        <w:tc>
          <w:tcPr>
            <w:tcW w:w="3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acquisition related contingent consideration was valued using a probability weighted discounted cash flow model based on internal forecasts and the WACC derived from market data, which are considered Level 3 inputs. 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acquisition related contingent consideration liability is the Company’s only Level 3 asset or liability. A summary of the Level 3 activity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2"/>
        <w:gridCol w:w="1316"/>
        <w:gridCol w:w="131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753,029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681,800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717,908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654,191</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current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760,396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675,300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760,396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675,300</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and June 27, 2025, a WACC of 8.2% and 8.9%, respectively, was utilized in the valuation of the Company’s acquisition related contingent consideration liability. The increase in the fair value of the acquisition related contingent consideration liability during the first half of 2026 was driven by higher projections of future cash flows in the distribution territories subject to acquisition related sub-bottling payments and a decrease in the WACC used to calculate the fair value of the liability from 8.5% as of December 31, 2025. This fair value adjustment was recorded in mark-to-market on acquisition related contingent consideration in the condensed consolidated statement of operations for the first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2026, the Company estimates the annual sub-bottling payments will be in the range of approximately $70 million to $80 million. For the next five future years (beginning with fiscal year 2027), the Company anticipates that the amount it could pay annually will be in the range of approximately $50 million to $70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26.2% for the first half of 2026 and 25.9% for the first half of 2025. The Company’s income tax expense was $96.0 million for the first half of 2026 and $101.5 million for the first half of 2025. The decrease in income tax expense was primarily attributable to lower income before taxes during the first half of 2026 compared to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uncertain tax positions, including accrued interest, of $0.6 million on July 3, 2026 and $0.5 million on December 31, 2025, all of which would affect the Company’s effective income tax rate if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tax years beginning in year 2022 remain open to examination by the Internal Revenue Service, and various tax years beginning in year 2002 remain open to examination by certain state tax jurisdictions due to loss carryforwards.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17.    Pension and Postretirement Benefit Obligations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Pension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sponsors a pension plan (the “Bargaining Plan”) for certain employees under collective bargaining agreements. Benefits under the Bargaining Plan are determined in accordance with negotiated formulas for the respective participants.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pension cost were as follows:</w:t>
      </w:r>
    </w:p>
    <w:p>
      <w:pPr>
        <w:pStyle w:val="TextBody"/>
        <w:bidi w:val="0"/>
        <w:spacing w:before="0" w:after="0"/>
        <w:jc w:val="left"/>
        <w:rPr/>
      </w:pPr>
      <w:r>
        <w:rPr/>
      </w:r>
    </w:p>
    <w:tbl>
      <w:tblPr>
        <w:tblW w:w="776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Contributions to the Bargaining Plan are based on actuarially determined amounts and are limited to the amounts currently deductible for income tax purposes. The Company did not make any contributions to the Bargaining Plan during the first half of 2026. The Company expects to make cash contributions to the Bargaining Plan of up to $5.0 million during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Postretirement Benefits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provides postretirement benefits for </w:t>
      </w:r>
      <w:r>
        <w:rPr>
          <w:rFonts w:ascii="Times New Roman;serif" w:hAnsi="Times New Roman;serif"/>
          <w:b w:val="false"/>
          <w:color w:val="000000"/>
          <w:sz w:val="20"/>
          <w:shd w:fill="FFFFFF" w:val="clear"/>
        </w:rPr>
        <w:t>employees meeting specified qualifying criteria</w:t>
      </w:r>
      <w:r>
        <w:rPr>
          <w:rFonts w:ascii="Times New Roman;serif" w:hAnsi="Times New Roman;serif"/>
          <w:b w:val="false"/>
          <w:color w:val="000000"/>
          <w:sz w:val="20"/>
        </w:rPr>
        <w:t>. The Company recognizes the cost of postretirement benefits, which consist principally of medical benefits, during employees’ periods of active service. The Company does not prefund these benefits and has the right to modify or terminate certain of these benefits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postretirement benefit cost were as follows:</w:t>
      </w:r>
    </w:p>
    <w:p>
      <w:pPr>
        <w:pStyle w:val="TextBody"/>
        <w:bidi w:val="0"/>
        <w:spacing w:before="0" w:after="0"/>
        <w:jc w:val="left"/>
        <w:rPr/>
      </w:pPr>
      <w:r>
        <w:rPr/>
      </w:r>
    </w:p>
    <w:tbl>
      <w:tblPr>
        <w:tblW w:w="8592" w:type="dxa"/>
        <w:jc w:val="left"/>
        <w:tblInd w:w="0" w:type="dxa"/>
        <w:tblLayout w:type="fixed"/>
        <w:tblCellMar>
          <w:top w:w="28" w:type="dxa"/>
          <w:left w:w="28" w:type="dxa"/>
          <w:bottom w:w="28" w:type="dxa"/>
          <w:right w:w="28" w:type="dxa"/>
        </w:tblCellMar>
      </w:tblPr>
      <w:tblGrid>
        <w:gridCol w:w="1244"/>
        <w:gridCol w:w="1094"/>
        <w:gridCol w:w="1097"/>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postretirement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18.    Other Liabilities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p>
      <w:pPr>
        <w:pStyle w:val="TextBody"/>
        <w:bidi w:val="0"/>
        <w:spacing w:before="0" w:after="0"/>
        <w:jc w:val="left"/>
        <w:rPr/>
      </w:pPr>
      <w:r>
        <w:rPr/>
      </w:r>
    </w:p>
    <w:tbl>
      <w:tblPr>
        <w:tblW w:w="9120" w:type="dxa"/>
        <w:jc w:val="left"/>
        <w:tblInd w:w="0" w:type="dxa"/>
        <w:tblLayout w:type="fixed"/>
        <w:tblCellMar>
          <w:top w:w="28" w:type="dxa"/>
          <w:left w:w="28" w:type="dxa"/>
          <w:bottom w:w="28" w:type="dxa"/>
          <w:right w:w="28" w:type="dxa"/>
        </w:tblCellMar>
      </w:tblPr>
      <w:tblGrid>
        <w:gridCol w:w="2004"/>
        <w:gridCol w:w="1763"/>
        <w:gridCol w:w="1768"/>
        <w:gridCol w:w="109"/>
        <w:gridCol w:w="109"/>
        <w:gridCol w:w="109"/>
        <w:gridCol w:w="211"/>
        <w:gridCol w:w="841"/>
        <w:gridCol w:w="109"/>
        <w:gridCol w:w="109"/>
        <w:gridCol w:w="109"/>
        <w:gridCol w:w="109"/>
        <w:gridCol w:w="309"/>
        <w:gridCol w:w="1235"/>
        <w:gridCol w:w="226"/>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642,970 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executive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proceeds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965,914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918,755</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19.    Debt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484"/>
        <w:gridCol w:w="458"/>
        <w:gridCol w:w="109"/>
        <w:gridCol w:w="109"/>
        <w:gridCol w:w="109"/>
        <w:gridCol w:w="297"/>
        <w:gridCol w:w="297"/>
        <w:gridCol w:w="298"/>
        <w:gridCol w:w="109"/>
        <w:gridCol w:w="109"/>
        <w:gridCol w:w="109"/>
        <w:gridCol w:w="264"/>
        <w:gridCol w:w="264"/>
        <w:gridCol w:w="268"/>
        <w:gridCol w:w="109"/>
        <w:gridCol w:w="109"/>
        <w:gridCol w:w="109"/>
        <w:gridCol w:w="428"/>
        <w:gridCol w:w="428"/>
        <w:gridCol w:w="435"/>
        <w:gridCol w:w="109"/>
        <w:gridCol w:w="109"/>
        <w:gridCol w:w="109"/>
        <w:gridCol w:w="325"/>
        <w:gridCol w:w="325"/>
        <w:gridCol w:w="326"/>
        <w:gridCol w:w="109"/>
        <w:gridCol w:w="109"/>
        <w:gridCol w:w="109"/>
        <w:gridCol w:w="211"/>
        <w:gridCol w:w="991"/>
        <w:gridCol w:w="109"/>
        <w:gridCol w:w="109"/>
        <w:gridCol w:w="109"/>
        <w:gridCol w:w="109"/>
        <w:gridCol w:w="211"/>
        <w:gridCol w:w="991"/>
        <w:gridCol w:w="157"/>
      </w:tblGrid>
      <w:tr>
        <w:trPr/>
        <w:tc>
          <w:tcPr>
            <w:tcW w:w="6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w:t>
              <w:br/>
              <w:t>Nonpublic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“Three-Year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“2029 Senior Bonds”)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“Five-Year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“2034 Senior Bonds”)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 on senior bonds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2,513,112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2,786,009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portion of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2,413,112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2,686,009</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July 3, 2026 and December 31, 2025, the senior notes maturing in 2026 were classified as current portion of debt in the condensed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Term Loan Facilities (as defined below) were issued in connection with the financing of the Repurchase, as further discussed in Note 2.</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2029 Senior Bonds were issued at 99.843% of par.</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2034 Senior Bonds were issued at 99.893% of par.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mitigates its financing risk by using multiple financial institutions and only entering into credit arrangements with institutions with investment grade credit ratings. The Company monitors counterparty credit ratings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entered into the Bridge Facility, dated as of November 7, 2025, providing for a 364-day senior unsecured bridge term loan facility in the aggregate principal amount of $1.20 billion to fund the Repurchase. Also on November 7, 2025, the Company borrowed $1.20 billion under the Bridge Facility, the full amount available under the Bridge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 Loan Facilities, the Company modified and extinguished the Bridge Facility discussed above, fully repaying the $1.20 billion outstanding under the Bridge Facility through a net cash settlement with the lender. As of July 3, 2026, the Company has repaid $275 million of the $450 million aggregate principal balance outstanding under the Five-Year Term Loan Facility using cash on hand, bringing the aggregate principal balance outstanding to $175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under which the 2029 Senior Bonds and the 2034 Senior Bonds were issued does not include financial covenants, but does limit the incurrence of certain liens and encumbrances as well as indebtedness by the Company’s subsidiaries in excess of certain amounts. The agreements under which the Company’s nonpublic debt, including its revolving credit facility and the Term Loan Facilities, was issued include two financial covenants: a consolidated cash flow/fixed charges ratio and a consolidated funded indebtedness/cash flow ratio (each as defined in the respective agreement). The Company was in compliance with these covenants as of July 3, 2026. These covenants have not restricted the Company’s liquidity or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Company entered into three $150 million fixed rate swap agreements, maturing on February 8, 2027, August 8, 2027 and February 8, 2028 to hedge a portion of the interest rate risk on the Three-Year Term Loan Facility and the Five-Year Term Loan Facility. Over the next 12 months, the Company expects approximately $2 million related to these interest rate swaps to be released from accumulated other comprehensive loss. These interest rate swaps are designated as cash flow hedging instruments and changes in their fair values are not expected to be material to the condensed consolidated balance sheets. Changes in the fair values of these interest rate swaps were classified as accumulated other comprehensive loss on the condensed consolidated balance sheets and included in the condensed consolidated statements of comprehensive income. Settlements of interest rate swaps are included in cash flows from operating activities in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outstanding debt has been issued by the Company and none has been issued by any of its subsidiaries. There are no guarantees of the Company’s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20.    Commitments and Contingencies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Manufacturing Cooperatives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purchase at least 80% of its requirements of plastic bottles for certain designated territories from Southeastern. The Company is also obligated to purchase 16.0 million cases of finished product from SAC on an annual basis through June 2034. The Company purchased 13.9 million cases and 13.3 million cases of finished product from SAC in the first half of 2026 and the first half of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purchases from these manufacturing cooperatives:</w:t>
      </w:r>
    </w:p>
    <w:p>
      <w:pPr>
        <w:pStyle w:val="TextBody"/>
        <w:bidi w:val="0"/>
        <w:spacing w:before="0" w:after="0"/>
        <w:jc w:val="left"/>
        <w:rPr/>
      </w:pPr>
      <w:r>
        <w:rPr/>
      </w:r>
    </w:p>
    <w:tbl>
      <w:tblPr>
        <w:tblW w:w="10152"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Southeastern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SAC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purchases from manufacturing cooperatives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86,392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179,487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166,684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guarantees a portion of SAC’s debt, which matures in 2028, based on the ratio of SAC’s total liabilities to SAC’s shareholders’ equity as of December 31 of each year. As of July 3, 2026 and December 31, 2025, the ratio of SAC’s total liabilities to SAC’s shareholders’ equity was such that the Company was not required to guarantee any of SAC’s debt. In the event SAC fails to fulfill its commitments under the related debt, the Company would be responsible for payment to the lenders up to the level of the guarantee. The Company does not anticipate SAC will fail to fulfill its commitments related to the debt. The Company further believes SAC has sufficient assets, including production equipment, facilities and working capital, and the ability to adjust the selling prices of its products to adequately mitigate the risk of material loss relating to the Company’s guarantee.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holds no assets as collateral against the SAC guarantee, the fair value of which is immaterial to the condensed consolidated financial statements. The Company monitors its investment in SAC and would be required to write down its investment if an impairment, other than a temporary impairment, was identified. No impairment of the Company’s investment in SAC was identified as of July 3, 2026, and there was no impairment identified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standby letters of credit and other collateral, primarily related to its property and casualty insurance programs. These letters of credit and other collateral totaled $52.7 million on July 3, 2026 and $47.5 million on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long-term marketing contractual arrangements with certain prestige properties, athletic venues and other locations. As of July 3, 2026 and December 31, 2025, the future payments related to these contractual arrangements, which expire at various dates through 2035, amounted to $146.1 million and $151.1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audits by tax authorities in jurisdictions where it conducts business. These audits may result in assessments that are subsequently resolved with the authorities or potentially through the courts. Management believes the Company has adequately provided for any assessments likely to result from these audits; however, final assessments, if any, could be different than the amounts recorded in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21.    Accumulated Other Comprehensive Income (Loss)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(“AOCI(L)”) is composed of adjustments to the Company’s pension and postretirement medical benefit plans, unrealized gains/losses on the Company’s interest rate swap agreements and unrealized gains/losses on the Company’s available-for-sale short-term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AOCI(L) for the second quarter of 2026 and the second quarter of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5"/>
        <w:gridCol w:w="632"/>
        <w:gridCol w:w="580"/>
        <w:gridCol w:w="109"/>
        <w:gridCol w:w="109"/>
        <w:gridCol w:w="109"/>
        <w:gridCol w:w="226"/>
        <w:gridCol w:w="706"/>
        <w:gridCol w:w="117"/>
        <w:gridCol w:w="109"/>
        <w:gridCol w:w="109"/>
        <w:gridCol w:w="109"/>
        <w:gridCol w:w="253"/>
        <w:gridCol w:w="757"/>
        <w:gridCol w:w="130"/>
        <w:gridCol w:w="122"/>
        <w:gridCol w:w="122"/>
        <w:gridCol w:w="122"/>
        <w:gridCol w:w="238"/>
        <w:gridCol w:w="573"/>
        <w:gridCol w:w="122"/>
        <w:gridCol w:w="109"/>
        <w:gridCol w:w="109"/>
        <w:gridCol w:w="109"/>
        <w:gridCol w:w="275"/>
        <w:gridCol w:w="628"/>
        <w:gridCol w:w="142"/>
        <w:gridCol w:w="118"/>
        <w:gridCol w:w="118"/>
        <w:gridCol w:w="118"/>
        <w:gridCol w:w="235"/>
        <w:gridCol w:w="468"/>
        <w:gridCol w:w="121"/>
        <w:gridCol w:w="109"/>
        <w:gridCol w:w="109"/>
        <w:gridCol w:w="109"/>
        <w:gridCol w:w="220"/>
        <w:gridCol w:w="685"/>
        <w:gridCol w:w="174"/>
      </w:tblGrid>
      <w:tr>
        <w:trPr/>
        <w:tc>
          <w:tcPr>
            <w:tcW w:w="89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r>
      <w:tr>
        <w:trPr/>
        <w:tc>
          <w:tcPr>
            <w:tcW w:w="21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(4,667)</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1,286</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w:t>
            </w:r>
            <w:r>
              <w:rPr>
                <w:color w:val="000000"/>
              </w:rPr>
              <w:t>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(3,507)</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2"/>
        <w:gridCol w:w="689"/>
        <w:gridCol w:w="634"/>
        <w:gridCol w:w="109"/>
        <w:gridCol w:w="109"/>
        <w:gridCol w:w="109"/>
        <w:gridCol w:w="247"/>
        <w:gridCol w:w="739"/>
        <w:gridCol w:w="127"/>
        <w:gridCol w:w="109"/>
        <w:gridCol w:w="109"/>
        <w:gridCol w:w="109"/>
        <w:gridCol w:w="312"/>
        <w:gridCol w:w="550"/>
        <w:gridCol w:w="142"/>
        <w:gridCol w:w="130"/>
        <w:gridCol w:w="130"/>
        <w:gridCol w:w="130"/>
        <w:gridCol w:w="252"/>
        <w:gridCol w:w="486"/>
        <w:gridCol w:w="130"/>
        <w:gridCol w:w="109"/>
        <w:gridCol w:w="109"/>
        <w:gridCol w:w="109"/>
        <w:gridCol w:w="365"/>
        <w:gridCol w:w="486"/>
        <w:gridCol w:w="153"/>
        <w:gridCol w:w="126"/>
        <w:gridCol w:w="126"/>
        <w:gridCol w:w="126"/>
        <w:gridCol w:w="265"/>
        <w:gridCol w:w="332"/>
        <w:gridCol w:w="133"/>
        <w:gridCol w:w="109"/>
        <w:gridCol w:w="109"/>
        <w:gridCol w:w="109"/>
        <w:gridCol w:w="233"/>
        <w:gridCol w:w="699"/>
        <w:gridCol w:w="183"/>
      </w:tblGrid>
      <w:tr>
        <w:trPr/>
        <w:tc>
          <w:tcPr>
            <w:tcW w:w="9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2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w:t>
            </w:r>
            <w:r>
              <w:rPr>
                <w:color w:val="000000"/>
              </w:rPr>
              <w:t>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AOCI(L) for the first half of 2026 and the first half of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2"/>
        <w:gridCol w:w="598"/>
        <w:gridCol w:w="542"/>
        <w:gridCol w:w="109"/>
        <w:gridCol w:w="109"/>
        <w:gridCol w:w="109"/>
        <w:gridCol w:w="259"/>
        <w:gridCol w:w="815"/>
        <w:gridCol w:w="133"/>
        <w:gridCol w:w="109"/>
        <w:gridCol w:w="109"/>
        <w:gridCol w:w="109"/>
        <w:gridCol w:w="247"/>
        <w:gridCol w:w="739"/>
        <w:gridCol w:w="127"/>
        <w:gridCol w:w="120"/>
        <w:gridCol w:w="120"/>
        <w:gridCol w:w="120"/>
        <w:gridCol w:w="234"/>
        <w:gridCol w:w="561"/>
        <w:gridCol w:w="120"/>
        <w:gridCol w:w="109"/>
        <w:gridCol w:w="109"/>
        <w:gridCol w:w="109"/>
        <w:gridCol w:w="266"/>
        <w:gridCol w:w="608"/>
        <w:gridCol w:w="137"/>
        <w:gridCol w:w="114"/>
        <w:gridCol w:w="114"/>
        <w:gridCol w:w="114"/>
        <w:gridCol w:w="222"/>
        <w:gridCol w:w="529"/>
        <w:gridCol w:w="114"/>
        <w:gridCol w:w="109"/>
        <w:gridCol w:w="109"/>
        <w:gridCol w:w="109"/>
        <w:gridCol w:w="219"/>
        <w:gridCol w:w="677"/>
        <w:gridCol w:w="176"/>
      </w:tblGrid>
      <w:tr>
        <w:trPr/>
        <w:tc>
          <w:tcPr>
            <w:tcW w:w="87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r>
      <w:tr>
        <w:trPr/>
        <w:tc>
          <w:tcPr>
            <w:tcW w:w="2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(6,005)</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2,807</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(689)</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(3,507)</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1"/>
        <w:gridCol w:w="676"/>
        <w:gridCol w:w="619"/>
        <w:gridCol w:w="109"/>
        <w:gridCol w:w="109"/>
        <w:gridCol w:w="109"/>
        <w:gridCol w:w="266"/>
        <w:gridCol w:w="798"/>
        <w:gridCol w:w="139"/>
        <w:gridCol w:w="109"/>
        <w:gridCol w:w="109"/>
        <w:gridCol w:w="109"/>
        <w:gridCol w:w="310"/>
        <w:gridCol w:w="544"/>
        <w:gridCol w:w="140"/>
        <w:gridCol w:w="129"/>
        <w:gridCol w:w="129"/>
        <w:gridCol w:w="129"/>
        <w:gridCol w:w="250"/>
        <w:gridCol w:w="482"/>
        <w:gridCol w:w="129"/>
        <w:gridCol w:w="109"/>
        <w:gridCol w:w="109"/>
        <w:gridCol w:w="109"/>
        <w:gridCol w:w="329"/>
        <w:gridCol w:w="525"/>
        <w:gridCol w:w="140"/>
        <w:gridCol w:w="122"/>
        <w:gridCol w:w="122"/>
        <w:gridCol w:w="122"/>
        <w:gridCol w:w="263"/>
        <w:gridCol w:w="329"/>
        <w:gridCol w:w="132"/>
        <w:gridCol w:w="109"/>
        <w:gridCol w:w="109"/>
        <w:gridCol w:w="109"/>
        <w:gridCol w:w="232"/>
        <w:gridCol w:w="696"/>
        <w:gridCol w:w="184"/>
      </w:tblGrid>
      <w:tr>
        <w:trPr/>
        <w:tc>
          <w:tcPr>
            <w:tcW w:w="96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22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w:t>
            </w:r>
            <w:r>
              <w:rPr>
                <w:color w:val="000000"/>
              </w:rPr>
              <w:t>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22.    Supplemental Disclosures of Cash Flow Information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current liabilities affecting cash were as follows:</w:t>
      </w:r>
    </w:p>
    <w:p>
      <w:pPr>
        <w:pStyle w:val="TextBody"/>
        <w:bidi w:val="0"/>
        <w:spacing w:before="0" w:after="0"/>
        <w:jc w:val="left"/>
        <w:rPr/>
      </w:pPr>
      <w:r>
        <w:rPr/>
      </w:r>
    </w:p>
    <w:tbl>
      <w:tblPr>
        <w:tblW w:w="7340" w:type="dxa"/>
        <w:jc w:val="left"/>
        <w:tblInd w:w="0" w:type="dxa"/>
        <w:tblLayout w:type="fixed"/>
        <w:tblCellMar>
          <w:top w:w="28" w:type="dxa"/>
          <w:left w:w="28" w:type="dxa"/>
          <w:bottom w:w="28" w:type="dxa"/>
          <w:right w:w="28" w:type="dxa"/>
        </w:tblCellMar>
      </w:tblPr>
      <w:tblGrid>
        <w:gridCol w:w="1559"/>
        <w:gridCol w:w="1371"/>
        <w:gridCol w:w="1374"/>
        <w:gridCol w:w="109"/>
        <w:gridCol w:w="109"/>
        <w:gridCol w:w="109"/>
        <w:gridCol w:w="211"/>
        <w:gridCol w:w="901"/>
        <w:gridCol w:w="109"/>
        <w:gridCol w:w="109"/>
        <w:gridCol w:w="109"/>
        <w:gridCol w:w="109"/>
        <w:gridCol w:w="211"/>
        <w:gridCol w:w="79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current assets less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(39,707)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(17,821)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of Coca</w:t>
        <w:noBreakHyphen/>
        <w:t>Cola Consolidated, Inc., a Delaware corporation (together with its majority-owned subsidiaries, the “Company,” “we,” “us” or “our”), is intended to help the reader understand our financial condition and results of operations and is provided as an addition to, and should be read in conjunction with, our condensed consolidated financial statements and the accompanying notes to the condensed consolidated financial statements. The condensed consolidated financial statements include the accounts and the consolidated operations of the Company and its majority-owned subsidiaries. All comparisons are to the corresponding period in the prior year unless specified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Company’s quarters, other than the fourth quarter, ends on the Friday closest to the last day of the corresponding quarterly calendar period. The Company’s fourth quarter and fiscal year end on December 31 regardless of the day of the week on which December 31 falls. The condensed consolidated financial statements presented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position as of July 3, 2026 and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operations, comprehensive income and changes in stockholders’ (deficit) equity for the three-month periods ended July 3, 2026 (the “second quarter” of fiscal 2026 (“2026”)) and June 27, 2025 (the “second quarter” of fiscal 2025 (“2025”)) and the six-month periods ended July 3, 2026 (the “first half” of 2026) and June 27, 2025 (the “first half”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changes in cash flows for the first half of 2026 and the first half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Our Business and the Nonalcoholic Beverage Industry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distribute, market and manufacture nonalcoholic beverages in territories spanning 14 states and the District of Columbia. The Company was incorporated in 1980 and, together with its predecessors, has been in the nonalcoholic beverage manufacturing and distribution business since 1902. We are the largest Coca</w:t>
        <w:noBreakHyphen/>
        <w:t>Cola bottler in the United States. Approximately 85% of our total bottle/can sales volume to retail customers consists of products of The Coca</w:t>
        <w:noBreakHyphen/>
        <w:t>Cola Company, which include some of the most recognized and popular beverage brands in the world. We also distribute products for several other beverage companies, including Monster Energy Company and Keurig Dr Pepper Inc. (“Dr Pepper”). Our Purpose is to honor God in all we do, to serve others, to pursue excellence and to grow profitably. Our Common Stock, par value $1.00 per share (“Common Stock”), is traded on The Nasdaq Global Select Market under the symbol “COKE.”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a range of nonalcoholic beverage products and flavors, including both sparkling and still beverages, designed to meet the demands of our consumers. Sparkling beverages are carbonated beverages and the Company’s principal sparkling beverage is Coca</w:t>
        <w:noBreakHyphen/>
        <w:t>Cola. Still beverages include energy products and noncarbonated beverages such as bottled water, ready-to-drink tea, ready-to-drink coffee, enhanced water, juices and sports drinks.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noBreakHyphen/>
        <w:t>Cola bottlers, 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 The Company also distributes its products using alternative routes to market (“ARTM”), which include distribution by third-party distributors, the manufacturer of the product or the customer’s supply chain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nonalcoholic beverage industry is highly competitive for both sparkling and still beverages. Our competitors include bottlers and distributors of nationally and regionally advertised and marketed products, as well as bottlers and distributors of private label beverages. Our principal competitors include local bottlers of PepsiCo, Inc. products and, in some regions, local bottlers of Dr Pepper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methods of competition in the nonalcoholic beverage industry are new brand and product introductions, point-of-sale merchandising, new vending and dispensing equipment, packaging changes, pricing, sales promotions, product quality,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space management, customer service, frequency of distribution and advertising. We believe we are competitive in our territories with respect to these methods of competition.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seasonality results primarily from higher unit sales of the Company’s products in the second and third quarters of the fiscal year, as sales of our products are typically correlated with warmer weather. We believe that we and other manufacturers from whom we purchase finished products have adequate production capacity to meet sales demand for sparkling and still beverages during these peak periods. Sales volume can also be impacted by weather conditions. Fixed costs, such as depreciation expense, are not significantly impacted by business seasonality.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Volume was up 7.6% in the second quarter of 2026 and up 10.3% in the first half of the year, or 7.1% on an adjusted basis, as presented in the “Adjusted Results (Non-GAAP)” section, for the first half of 2026. Our Sparkling category volume increased 7.0% in the second quarter of 2026 and 9.4% in the first half of 2026, or 6.2% on an adjusted basis, as presented in the “Adjusted Results (Non-GAAP)” section. Sparkling volume growth reflected broad-based gains across the portfolio, led by our zero-sugar and flavor offerings. Still category volume increased 9.4% in the second quarter of 2026 and 12.9% in the first half of 2026, or 9.8% on an adjusted basis, as presented in the “Adjusted Results (Non-GAAP)” section. The Still category volume growth was driven by strong performance across many brands, including Core Power, Powerade, smartwater and Monster. Dasani casepack water, which carries a lower net selling price as compared to other Still products, also contributed to a portion of the growth within our Still category. In addition, total volume in the second quarter of 2026 was also higher as compared to the second quarter of 2025 due to the timing of the Fourth of July holiday, which we estimate impacted total volume by approximately 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increased 10.6% to $2.1 billion in the second quarter of 2026. The growth in net sales was primarily the result of our volume growth and annual pricing actions, as well as a shift in the timing of the Fourth of July holiday. Sparkling and Still net sales increased 9.7% and 11.5%, respectively, in the second quarter of 2026 compared to the second quarter of 2025. The increase in Sparkling category net sales was driven primarily by sales of multi-pack, take-home aluminum can packages sold within our large store, club and value channels. Net sales of our Still products were especially strong in our convenience and value store channels.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Gross profit in the second quarter of 2026 was $778.4 million, an increase of $35.9 million, or 4.8%. On an adjusted</w:t>
      </w:r>
      <w:r>
        <w:rPr>
          <w:color w:val="000000"/>
        </w:rPr>
        <w:t xml:space="preserve"> </w:t>
      </w:r>
      <w:r>
        <w:rPr>
          <w:rFonts w:ascii="Times New Roman;serif" w:hAnsi="Times New Roman;serif"/>
          <w:b w:val="false"/>
          <w:color w:val="000000"/>
          <w:sz w:val="20"/>
        </w:rPr>
        <w:t>basis, as defined in the “Adjusted Results (Non-GAAP)” section, gross profit increased $47.3 million, or 6.4%. Gross margin in the second quarter of 2026 decreased 210 basis points to 37.9%. Adjusted</w:t>
      </w:r>
      <w:r>
        <w:rPr>
          <w:color w:val="000000"/>
        </w:rPr>
        <w:t xml:space="preserve"> </w:t>
      </w:r>
      <w:r>
        <w:rPr>
          <w:rFonts w:ascii="Times New Roman;serif" w:hAnsi="Times New Roman;serif"/>
          <w:b w:val="false"/>
          <w:color w:val="000000"/>
          <w:sz w:val="20"/>
        </w:rPr>
        <w:t xml:space="preserve">gross margin in the second quarter of 2026, as presented in the “Adjusted Results (Non-GAAP)” section, decreased 150 basis points to 38.4%. The reduction in gross margin resulted primarily from an increase in aluminum costs, which was caused by geopolitical conflicts, supply constraints and the impact of elevated tariffs. These elevated aluminum costs resulted in approximately $45 million in additional input costs compared to the second quarter of 2025, which outpaced our annual pricing 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delivery and administrative (“SD&amp;A”) expenses in the second quarter of 2026 increased $36.7 million, or 7.8%. SD&amp;A expenses as a percentage of net sales decreased to 24.7% in the second quarter of 2026 from 25.4% in the second quarter of 2025. The increase in SD&amp;A expenses was primarily driven by an additional investment in the base wages of our front-line teammates, which became effective at the beginning of the third quarter of 2025. The growth in SD&amp;A expenses was also driven by an increase in labor costs related to annual wage adjustments, higher employee benefit costs and elevated fuel costs. In addition, increased volume in the second quarter was also a driver of variable expenses during the quarter. SD&amp;A expenses in the first half of 2026 increased $88.9 million or 9.8%. Approximately $25.0 million of the increase was related to the six additional days in the first half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 in the second quarter of 2026 was $271.3 million, compared to $272.1 million in the second quarter of 2025, a decrease of $0.7 million, or 0.3%. On an adjusted basis, as defined in the “Adjusted Results (Non-GAAP)” section, income from operations in the second quarter of 2026 was $284.9 million, an increase of $14.9 million. Operating margin for the second quarter of 2026 was 13.2% as compared to 14.7% for the second quarter of 2025, a decrease of 150 basis points. Adjusted operating margin for the second quarter of 2026, as presented in the “Adjusted Results (Non-GAAP)” section, was 13.9% as compared to 14.6% for the second quarter of 2025, a decrease of 70 basis points. For the first half of 2026, income from operations increased $47.0 million, or 10.2%. The six additional selling days in the first half of 2026 accounted for approximately $30.0 million of the increase in income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 the second quarter of 2026 was $158.8 million, compared to $187.4 million in the second quarter of 2025, a decline of $28.6 million, or 15.2%. On an adjusted basis, as defined in the “Adjusted Results (Non-GAAP)” section, net income in the second quarter of 2026 was $187.7 million, compared to $195.2 million in the second quarter of 2025, a decrease of $7.5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3.8%. Net income in the second quarter of 2026 was adversely impacted by non-cash, fair value adjustments to both our acquisition related contingent consideration and commodity hedging instruments, as well as an increase in net interest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for the first half of 2026 was $270.4 million, compared to $291.0 million in the first half of 2025, a decline of $20.6 million, or 7.1%. Net income for the first half of 2026 was adversely impacted by an increase in net interest expense and non-cash, fair value adjustments to our acquisition related contingent consideration. These decreases in net income were offset by the six additional days in the first half of 2026, which increased net income by approximately $22.6 million during the period. Income tax expense in the first half of 2026 was $96.0 million, compared to $101.5 million in the first half of 2025, resulting in an effective income tax rate of approximately 26% for both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operations for the first half of 2026 were $420.6 million, compared to $406.2 million for the first half of 2025. During the first half of 2026, we invested approximately $147 million in capital expenditures. In fiscal year 2026, we expect capital expenditures to be approximately $300 million. During the second quarter of 2026, we made early repayments of $125 million of principal on one of our term loans, for total year-to-date early term loan repayments of $275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noted above, the first quarter of 2026 included six extra days as compared to the first quarter of 2025. The fourth quarter of 2026 will include six fewer days as compared to the fourth quarter of 2025. The full fiscal years of 2026 and 2025 have the same number of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Areas of Emphasis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 priorities for the Company include executing our commercial strategy, executing our revenue management strategy, optimizing our supply chain, generating cash flow, determining the optimal route to market and creating and maintaining a digitally enabled selling platform.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Commercial Execution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success is dependent on our ability to execute our commercial strategy within our customers’ stores. Our ability to obtain shelf space within stores and remain in-stock across our portfolio of brands and packages in a profitable manner will have a significant impact on our results. We are focused on execution at every step in our supply chain, including raw material and finished product procurement, manufacturing conversion, transportation, warehousing and distribution, to ensure in-store execution can occur. We continue to invest in tools and technology to enable our teammates to operate more effectively and efficiently with our customers and to drive long-term value in our business. We also continue to focus on opportunities to enhance the customer experience by adapting to changes in our customer landscape, enabling operational flexibility and focusing on customer service.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Revenue Management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revenue management strategy focuses on pricing our brands and packages optimally within product categories and channels, creating effective working relationships with our customers and making disciplined, fact-based decisions. Pricing decisions are made considering a variety of factors, including brand strength, competitive environment, input costs, the roles certain brands play in our product portfolio and other market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Supply Chain Optimization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are continually focused on optimizing our supply chain, which includes identifying nearby warehousing and distribution operations that can be consolidated into new facilities to increase capacity, expand production capabilities, reduce overall production costs and add automation to allow the Company to better serve its customers and consumers. The Company expects to continue to make significant capital investments to optimize our supply chain and to invest for future growth during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Cash Flow Generation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have several initiatives in place to optimize cash flow, improve profitability, prudently manage capital expenditures and enhance capital returns to our stockholders. We believe strengthening our balance sheet gives us the flexibility to make optimal capital allocation decisions for long-term value creation. We have returned, and expect to continue to return, value to our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Optimal Route to Market</w:t>
      </w:r>
      <w:r>
        <w:rPr>
          <w:rFonts w:ascii="Times New Roman;serif" w:hAnsi="Times New Roman;serif"/>
          <w:b w:val="false"/>
          <w:color w:val="000000"/>
          <w:sz w:val="20"/>
        </w:rPr>
        <w:t>: We are focused on implementing optimal methods of distribution of our products within our territories. Direct store delivery (“DSD”) is our preferred and primary route to market. Our typical DSD method uses Company-owned vehicles and warehouses, but we increasingly shifted to alternative methods of distribution, or ARTM, beginning in 2024 and intend to continue using ARTM at similar rates for the foreseeable future. For example, in instances of post-mix delivery for use in fountain machines, we have shifted, and continue to shift, our delivery method towards alternative distributors in order to enhance profitability and customer service. We receive a fee from our brand partners on these post-mix gallons delivered to locally managed customers in our territories, which is recorded as a reduction to cost of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instances of bottle/can delivery, we have shifted certain products for certain customers and channels of business to ARTM. These ARTM include third-party distributors, the manufacturer of the product or the customer’s supply chain infrastructure. These bottle/can arrangements generally come with favorable commercial terms for the Company, and, because we have the exclusive distribution rights for nonalcoholic beverages within our franchise territories, we receive fees from our brand partners for the delivery of qualified product in our territories. These fees are reported in net sales but not our reported volume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approximately two-thirds of our post-mix gallons and less than 10% of our bottle/can volume were delivered through ARTM. These ratios are consistent with the first half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Digitally Enabled Selling Platform</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Through our investment in CONA Services LLC, we, along with other Coca-Cola bottlers, have built a digitally enabled selling platform called MyCoke that we believe has enabled, and will continue to enable, us to better serve our customers. This platform creates a more seamless order and payment platform for certain customers and we expect this platform will continue to enable us to enhance customer service and create more selling opportunities for our teammates. This platform is currently targeted to certain on-premise and small store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results of operations for the second quarter of 2026 and the second quarter of 2025 are highlighted in the table below and discussed in the following paragraphs. </w:t>
      </w:r>
    </w:p>
    <w:p>
      <w:pPr>
        <w:pStyle w:val="TextBody"/>
        <w:bidi w:val="0"/>
        <w:spacing w:before="0" w:after="0"/>
        <w:jc w:val="left"/>
        <w:rPr/>
      </w:pPr>
      <w:r>
        <w:rPr/>
      </w:r>
    </w:p>
    <w:tbl>
      <w:tblPr>
        <w:tblW w:w="10059" w:type="dxa"/>
        <w:jc w:val="left"/>
        <w:tblInd w:w="0" w:type="dxa"/>
        <w:tblLayout w:type="fixed"/>
        <w:tblCellMar>
          <w:top w:w="28" w:type="dxa"/>
          <w:left w:w="28" w:type="dxa"/>
          <w:bottom w:w="28" w:type="dxa"/>
          <w:right w:w="28" w:type="dxa"/>
        </w:tblCellMar>
      </w:tblPr>
      <w:tblGrid>
        <w:gridCol w:w="1915"/>
        <w:gridCol w:w="1686"/>
        <w:gridCol w:w="1694"/>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159,981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(27,374)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increased $196.9 million, or 10.6%, to $2.05 billion in the second quarter of 2026, as compared to $1.86 billion in the second quarter of 2025. The growth in net sales was primarily the result of increased case sales volume during the second quarter of 2026, which was up 7.6% as compared to the second quarter of 2025. The growth in net sales was also attributable to higher average bottle/can sales price per unit charged to retail customers, largely as a result of annual pricing actions, as well as a shift in the timing of the Fourth of July holiday.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product category were as follows:</w:t>
      </w:r>
    </w:p>
    <w:p>
      <w:pPr>
        <w:pStyle w:val="TextBody"/>
        <w:bidi w:val="0"/>
        <w:spacing w:before="0" w:after="0"/>
        <w:jc w:val="left"/>
        <w:rPr/>
      </w:pPr>
      <w:r>
        <w:rPr/>
      </w:r>
    </w:p>
    <w:tbl>
      <w:tblPr>
        <w:tblW w:w="7555"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211"/>
        <w:gridCol w:w="991"/>
        <w:gridCol w:w="109"/>
        <w:gridCol w:w="109"/>
        <w:gridCol w:w="109"/>
        <w:gridCol w:w="109"/>
        <w:gridCol w:w="211"/>
        <w:gridCol w:w="991"/>
        <w:gridCol w:w="109"/>
        <w:gridCol w:w="109"/>
        <w:gridCol w:w="109"/>
        <w:gridCol w:w="109"/>
        <w:gridCol w:w="262"/>
        <w:gridCol w:w="264"/>
        <w:gridCol w:w="63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1,882,214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1,706,034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other Coca</w:t>
              <w:noBreakHyphen/>
              <w:t>Cola bottlers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Post-mix sales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170,206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2,052,420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1,855,519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category sales volume of standard physical cases (as defined below) and the percentage change by product category were as follows:</w:t>
      </w:r>
    </w:p>
    <w:p>
      <w:pPr>
        <w:pStyle w:val="TextBody"/>
        <w:bidi w:val="0"/>
        <w:spacing w:before="0" w:after="0"/>
        <w:jc w:val="left"/>
        <w:rPr/>
      </w:pPr>
      <w:r>
        <w:rPr/>
      </w:r>
    </w:p>
    <w:tbl>
      <w:tblPr>
        <w:tblW w:w="6609" w:type="dxa"/>
        <w:jc w:val="left"/>
        <w:tblInd w:w="0" w:type="dxa"/>
        <w:tblLayout w:type="fixed"/>
        <w:tblCellMar>
          <w:top w:w="28" w:type="dxa"/>
          <w:left w:w="28" w:type="dxa"/>
          <w:bottom w:w="28" w:type="dxa"/>
          <w:right w:w="28" w:type="dxa"/>
        </w:tblCellMar>
      </w:tblPr>
      <w:tblGrid>
        <w:gridCol w:w="939"/>
        <w:gridCol w:w="827"/>
        <w:gridCol w:w="828"/>
        <w:gridCol w:w="109"/>
        <w:gridCol w:w="109"/>
        <w:gridCol w:w="109"/>
        <w:gridCol w:w="367"/>
        <w:gridCol w:w="369"/>
        <w:gridCol w:w="176"/>
        <w:gridCol w:w="160"/>
        <w:gridCol w:w="160"/>
        <w:gridCol w:w="160"/>
        <w:gridCol w:w="367"/>
        <w:gridCol w:w="369"/>
        <w:gridCol w:w="176"/>
        <w:gridCol w:w="109"/>
        <w:gridCol w:w="109"/>
        <w:gridCol w:w="109"/>
        <w:gridCol w:w="210"/>
        <w:gridCol w:w="211"/>
        <w:gridCol w:w="636"/>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97,623</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90,706</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6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standard physical case is a volume metric used to standardize differing package configurations in order to measure delivered cases on an equivalent basis. As the Company evaluates its volume metrics, it reassesses the way in which physical case volume is measured, which may lead to differences from previously presented results in order to conform with current period standard volume measurement techniques, as used by management. Additionally, as the Company introduces new products, it reassesses the category assigned to its products at the SKU level, therefore categorization could differ from previously presented results in order to conform with current period categorization. Any differences are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bottle/can sales volume above represents volume that is delivered directly to our customer outlets using Company-owned vehicles and warehouses. In order to serve our customers in the most efficient way, respond to customer demands and increase profitability, the Company has, in certain circumstances, shifted the delivery of our products to third-party distributors, the manufacturer of the product or the customer’s supply chain infrastructure, rather than using Company-owned vehicles and warehouses. As a result, these cases are not included in our reported case sales volume for the first half of 2026 or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and post-mix funding from our brand partners. Input costs for products we produce, including underlying commodity costs for aluminum cans, plastic bottles, carbon dioxide and sweetener, as well as labels and other packaging materials, and excluding concentrate, represent approximately 20% to 25% of total annual 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increased $161.0 million, or 14.5%, to $1.27 billion in the second quarter of 2026, as compared to $1.11 billion in the second quarter of 2025. The increase in cost of sales was largely driven by the increase in case sales volume as compared to the second quarter of 2025. Cost of sales also continued to be impacted by higher input costs, specifically aluminum costs, which reflected the uncertainty surrounding geopolitical conflicts, supply constraints and the impact of elevated tariffs, and resulted in approximately $45 million in additional input costs compared to the second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relies extensively on advertising and sales promotions in the marketing of its products. The Coca</w:t>
        <w:noBreakHyphen/>
        <w:t>Cola Company and other beverage companies that supply concentrates, syrups and finished products to the Company make substantial marketing and advertising expenditures, including national advertising programs, to develop their brand identities and to promote sales in the Company’s territories. Our brand partners also provide funding related to the delivery of post-mix gallons to locally managed customers within the Company’s territories. Certain of these marketing, advertising and other funding expenditures are made pursuant to annual arrangements. Total funding support from The Coca</w:t>
        <w:noBreakHyphen/>
        <w:t>Cola Company and other beverage companies, which includes both direct payments to the Company and payments to customers for marketing programs, was $58.0 million in the second quarter of 2026 and $52.4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 Labor costs represent approximately two-thirds of total annual SD&amp;A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SD&amp;A expenses increased $36.7 million, or 7.8%, to $507.1 million in the second quarter of 2026, as compared to $470.4 million in the second quarter of 2025. SD&amp;A expenses increased due to an additional investment in the base wages of our front-line teammates, which became effective at the beginning of the third quarter of 2025. The increase in SD&amp;A expenses was also driven by an increase in labor costs related to annual wage adjustments, higher employee benefit costs and elevated fuel costs during the quarter. In addition, increased volume in the second quarter was also a driver of variable expense during the quarter. SD&amp;A expenses as a percentage of net sales decreased to 24.7% in the second quarter of 2026 from 25.4%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Shipping and handling costs included in SD&amp;A expenses were approximately $219 million in the second quarter of 2026 and approximately $207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$24.5 million to $30.5 million in the second quarter of 2026, as compared to $5.9 million in the second quarter of 2025. The increase in interest expense, net was driven by a reduction in interest income primarily related to lower cash and short-term investment balances in the second quarter of 2026 as compared to the second quarter of 2025. The increase in interest expense, net was also driven by an increase in interest expense on higher debt balances in the second quarter of 2026 as compared to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Mark-to-Market on Acquisition Related Contingent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reporting period, the Company adjusts its acquisition related contingent consideration liability to fair value, which is determined by discounting future expected acquisition related sub-bottling payments using the Company’s estimated weighted average cost of capital (“WACC”) and future cash flow projections, and records the fair value adjustment as mark-to-market on acquisition related contingent consideration in the condensed consolidated statement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 was an increase of $24.7 million in the second quarter of 2026 and an increase of $12.4 million in the second quarter of 2025. During the second quarter of 2026, the $24.7 million increase in the fair value of the acquisition related contingent consideration liability was primarily driven by higher projections of future cash flows in the distribution territories subject to acquisition related sub-bottling payments, partially offset by an increase in the WACC used to calculate the fair value of the liability. During the second quarter of 2025, the $12.4 million increase in the fair value of the acquisition related contingent consideration liability was primarily driven by a decrease in the WACC used to calculate the fair value of the liability and changes in projections of future cash flows in the distribution territories subject to acquisition related sub-bottling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 was $1.0 million in the second quarter of 2026, as compared to $0.8 million in the second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26.2% for the second quarter of 2026 and 25.9% for the second quarter of 2025. The Company’s income tax expense decreased $9.3 million, or 14.2%, to $56.3 million for the second quarter of 2026, as compared to $65.6 million for the second quarter of 2025. The decrease in income tax expense was primarily attributable to lower income before taxes during the second quarter of 2026 as compared to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net of tax was income of $1.2 million in the second quarter of 2026 and $0.0 million in the second quarter of 2025. The primary driver of the other comprehensive income, net of tax during the second quarter of 2026 was the mark-to-market adjustments recorded to the Company’s interest rate swap instruments during the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Half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first half of 2026 and the first half of 2025 are highlighted in the table below and discussed in the following paragraphs. Results for the first half of 2026 include six additional days compared to the first half of 2025.</w:t>
      </w:r>
    </w:p>
    <w:p>
      <w:pPr>
        <w:pStyle w:val="TextBody"/>
        <w:bidi w:val="0"/>
        <w:spacing w:before="0" w:after="0"/>
        <w:jc w:val="left"/>
        <w:rPr/>
      </w:pPr>
      <w:r>
        <w:rPr/>
      </w:r>
    </w:p>
    <w:tbl>
      <w:tblPr>
        <w:tblW w:w="10058" w:type="dxa"/>
        <w:jc w:val="left"/>
        <w:tblInd w:w="0" w:type="dxa"/>
        <w:tblLayout w:type="fixed"/>
        <w:tblCellMar>
          <w:top w:w="28" w:type="dxa"/>
          <w:left w:w="28" w:type="dxa"/>
          <w:bottom w:w="28" w:type="dxa"/>
          <w:right w:w="28" w:type="dxa"/>
        </w:tblCellMar>
      </w:tblPr>
      <w:tblGrid>
        <w:gridCol w:w="1915"/>
        <w:gridCol w:w="1681"/>
        <w:gridCol w:w="169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272,875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290,952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(18,077)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increased $463.6 million, or 13.5%, to $3.90 billion in the first half of 2026, as compared to $3.44 billion in the first half of 2025. The six additional days in the first half of 2026 as compared to the first half of 2025 accounted for approximately $132 million of the increase in net sales during the first half of 2026. Additionally, the increase in net sales was driven by higher case sales volume during the first half of 2026 as compared to the first half of 2025. On an adjusted basis, as presented in the “Adjusted Results (Non-GAAP)” section, sales volume increased by 7.1% in the first half of 2026. The increase in net sales was also attributable to higher average bottle/can sales price per unit charged to retail customers, largely as a result of annual pricing 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product category were as follows:</w:t>
      </w:r>
    </w:p>
    <w:p>
      <w:pPr>
        <w:pStyle w:val="TextBody"/>
        <w:bidi w:val="0"/>
        <w:spacing w:before="0" w:after="0"/>
        <w:jc w:val="left"/>
        <w:rPr/>
      </w:pPr>
      <w:r>
        <w:rPr/>
      </w:r>
    </w:p>
    <w:tbl>
      <w:tblPr>
        <w:tblW w:w="7555"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211"/>
        <w:gridCol w:w="991"/>
        <w:gridCol w:w="109"/>
        <w:gridCol w:w="109"/>
        <w:gridCol w:w="109"/>
        <w:gridCol w:w="109"/>
        <w:gridCol w:w="211"/>
        <w:gridCol w:w="991"/>
        <w:gridCol w:w="109"/>
        <w:gridCol w:w="109"/>
        <w:gridCol w:w="109"/>
        <w:gridCol w:w="109"/>
        <w:gridCol w:w="262"/>
        <w:gridCol w:w="264"/>
        <w:gridCol w:w="63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3,577,126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3,149,027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other Coca</w:t>
              <w:noBreakHyphen/>
              <w:t>Cola bottlers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Post-mix sales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286,469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3,899,088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3,435,496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category sales volume of standard physical cases and the percentage change by product category were as follows:</w:t>
      </w:r>
    </w:p>
    <w:p>
      <w:pPr>
        <w:pStyle w:val="TextBody"/>
        <w:bidi w:val="0"/>
        <w:spacing w:before="0" w:after="0"/>
        <w:jc w:val="left"/>
        <w:rPr/>
      </w:pPr>
      <w:r>
        <w:rPr/>
      </w:r>
    </w:p>
    <w:tbl>
      <w:tblPr>
        <w:tblW w:w="6771" w:type="dxa"/>
        <w:jc w:val="left"/>
        <w:tblInd w:w="0" w:type="dxa"/>
        <w:tblLayout w:type="fixed"/>
        <w:tblCellMar>
          <w:top w:w="28" w:type="dxa"/>
          <w:left w:w="28" w:type="dxa"/>
          <w:bottom w:w="28" w:type="dxa"/>
          <w:right w:w="28" w:type="dxa"/>
        </w:tblCellMar>
      </w:tblPr>
      <w:tblGrid>
        <w:gridCol w:w="939"/>
        <w:gridCol w:w="827"/>
        <w:gridCol w:w="828"/>
        <w:gridCol w:w="109"/>
        <w:gridCol w:w="109"/>
        <w:gridCol w:w="109"/>
        <w:gridCol w:w="420"/>
        <w:gridCol w:w="421"/>
        <w:gridCol w:w="176"/>
        <w:gridCol w:w="109"/>
        <w:gridCol w:w="109"/>
        <w:gridCol w:w="109"/>
        <w:gridCol w:w="420"/>
        <w:gridCol w:w="421"/>
        <w:gridCol w:w="176"/>
        <w:gridCol w:w="109"/>
        <w:gridCol w:w="109"/>
        <w:gridCol w:w="109"/>
        <w:gridCol w:w="262"/>
        <w:gridCol w:w="264"/>
        <w:gridCol w:w="636"/>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184,648</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167,433</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6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the Company’s total bottle/can sales volume to its largest customers, as well as the percentage of the Company’s total net sales that such volume represents:</w:t>
      </w:r>
    </w:p>
    <w:p>
      <w:pPr>
        <w:pStyle w:val="TextBody"/>
        <w:bidi w:val="0"/>
        <w:spacing w:before="0" w:after="0"/>
        <w:jc w:val="left"/>
        <w:rPr/>
      </w:pPr>
      <w:r>
        <w:rPr/>
      </w:r>
    </w:p>
    <w:tbl>
      <w:tblPr>
        <w:tblW w:w="8422" w:type="dxa"/>
        <w:jc w:val="left"/>
        <w:tblInd w:w="0" w:type="dxa"/>
        <w:tblLayout w:type="fixed"/>
        <w:tblCellMar>
          <w:top w:w="28" w:type="dxa"/>
          <w:left w:w="28" w:type="dxa"/>
          <w:bottom w:w="28" w:type="dxa"/>
          <w:right w:w="28" w:type="dxa"/>
        </w:tblCellMar>
      </w:tblPr>
      <w:tblGrid>
        <w:gridCol w:w="2302"/>
        <w:gridCol w:w="2026"/>
        <w:gridCol w:w="2031"/>
        <w:gridCol w:w="109"/>
        <w:gridCol w:w="109"/>
        <w:gridCol w:w="109"/>
        <w:gridCol w:w="187"/>
        <w:gridCol w:w="189"/>
        <w:gridCol w:w="306"/>
        <w:gridCol w:w="109"/>
        <w:gridCol w:w="109"/>
        <w:gridCol w:w="109"/>
        <w:gridCol w:w="187"/>
        <w:gridCol w:w="189"/>
        <w:gridCol w:w="351"/>
      </w:tblGrid>
      <w:tr>
        <w:trPr/>
        <w:tc>
          <w:tcPr>
            <w:tcW w:w="230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percent of the Company’s total bottle/can sales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Walmart Inc.</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Kroger Co.</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approximate percent of the Company’s total bottle/can sales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percent of the Company’s 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Walmart Inc.</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Kroger Co.</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approximate percent of the Company’s 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bottle/can sales volume related to the Walmart, Sam’s Club and Walmart Neighborhood Market chains.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bottle/can sales volume related to the Kroger and Harris Teeter chains.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increased $327.7 million, or 15.9%, to $2.39 billion in the first half of 2026, as compared to $2.07 billion in the first half of 2025. The increase in cost of sales was largely driven by an increase in case sales volume as compared to the first half of 2025, including the impact of six additional days in the first half of 2026, which accounted for approximately $77 million of the increase in cost of sales during the first half of 2026. Cost of sales was also impacted throughout the first half of 2026 by higher input costs, specifically aluminum costs, which reflected the uncertainty surrounding geopolitical conflicts, supply constraints and the impact of elevated tariffs, and resulted in approximately $80 million in additional input costs compared to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funding support from The Coca</w:t>
        <w:noBreakHyphen/>
        <w:t>Cola Company and other beverage companies was $105.8 million in the first half of 2026, as compared to $97.6 million in the first half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SD&amp;A expenses increased $88.9 million, or 9.8%, to $1.00 billion in the first half of 2026, as compared to $907.7 million in the first half of 2025. The increase in SD&amp;A expenses was partially driven by the six additional days in the first half of 2026 as compared to the first half of 2025, which accounted for approximately $25 million of the increase in SD&amp;A expenses during the first half of 2026. Additionally, SD&amp;A expenses increased due to an additional investment in the base wages of our front-line teammates, which became effective at the beginning of the third quarter of 2025, an increase in labor costs related to annual wage adjustments and higher employee benefit costs. SD&amp;A expenses as a percentage of net sales decreased to 25.6% in the first half of 2026 from 26.4% in the first half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Shipping and handling costs included in SD&amp;A expenses were approximately $435 million in the first half of 2026 and approximately $401 million in the first half of 2025. The increase in shipping and handling costs was also impacted by the six additional days in the first half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$49.7 million to $62.5 million in the first half of 2026, as compared to $12.8 million in the first half of 2025. The increase in interest expense, net was driven by a reduction in interest income primarily related to lower cash and short-term investment balances in the first half of 2026 as compared to the first half of 2025. The increase was also driven by an increase in interest expense on higher debt balances in the first half of 2026 as compared to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Mark-to-Market on Acquisition Related Contingent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 was an increase of $78.1 million in the first half of 2026 compared to an increase of $55.1 million in the first half of 2025. During the first half of 2026, the $78.1 million increase in the fair value of the acquisition related contingent consideration liability was driven by higher projections of future cash flows in the distribution territories subject to acquisition related sub-bottling payments and a decrease in the WACC used to calculate the fair value of the liability. During the first half of 2025, the $55.1 million increase in the fair value of the acquisition related contingent consideration liability was primarily driven by a decrease in the WACC used to calculate the fair value of the liability and changes in projections of future cash flows in the distribution territories subject to acquisition related sub-bottling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was $1.9 million in the first half of 2026 and $1.5 million in the first half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26.2% for the first half of 2026 and 25.9% for the first half of 2025. The Company’s income tax expense decreased $5.5 million, or 5.4%, to $96.0 million for the first half of 2026, as compared to $101.5 million for the first half of 2025. The decrease in income tax expense was primarily attributable to lower income before taxes during the first half of 2026 as compared to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net of tax was $2.5 million in the first half of 2026 and $0.0 million in the first half of 2025. The primary driver of the other comprehensive income, net of tax during the first half of 2026 was the mark-to-market adjustments recorded to the Company’s interest rate swap instruments during the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reporting in accordance with Financial Accounting Standards Board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Segment asset information is not provided to the CODM.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operating segments, each identified by its unique products and services. Nonalcoholic Beverages represents the vast majority of the Company’s consolidated net sales and income from operations. The accounting policies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Nonalcoholic Beverages operating segment are the same as those described in the summary of significant accounting policies presented in Note 1 to the consolidated financial statements included in the Company’s Annual Report on Form 10-K for 2025. The additional operating segment, which includes the Red Classic subsidiaries, does not meet the quantitative threshold for separate reporting and, therefore, has been reported as “All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Previously, the Company had three operating segments, Nonalcoholic Beverages and two additional operating segments, which included Data Ventures, Inc. and the Red Classic subsidiaries. Since the two additional operating segments did not meet the quantitative thresholds for separate reporting, either individually or in the aggregate, they were combined into “All Other.” As of December 31, 2025, the Data Ventures, Inc. operating segment was liquidated, dissolved and merged into the Nonalcoholic Beverages operating segment. For reporting purposes, all prior periods presented have been retroactively adjusted to reflect the dissolution of the Data Ventures, Inc. operating segment within the All Other operating segment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2026</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761,447 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495,340</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(17,438)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507,074</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266,107</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271,339</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52,634 </w:t>
            </w:r>
          </w:p>
        </w:tc>
        <w:tc>
          <w:tcPr>
            <w:tcW w:w="1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58,151 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2025</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459,796</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(16,686)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470,412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263,864</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272,084</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49,387 </w:t>
            </w:r>
          </w:p>
        </w:tc>
        <w:tc>
          <w:tcPr>
            <w:tcW w:w="1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54,765 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6"/>
        <w:gridCol w:w="1050"/>
        <w:gridCol w:w="991"/>
        <w:gridCol w:w="109"/>
        <w:gridCol w:w="109"/>
        <w:gridCol w:w="109"/>
        <w:gridCol w:w="298"/>
        <w:gridCol w:w="1380"/>
        <w:gridCol w:w="153"/>
        <w:gridCol w:w="109"/>
        <w:gridCol w:w="109"/>
        <w:gridCol w:w="109"/>
        <w:gridCol w:w="211"/>
        <w:gridCol w:w="826"/>
        <w:gridCol w:w="109"/>
        <w:gridCol w:w="109"/>
        <w:gridCol w:w="109"/>
        <w:gridCol w:w="109"/>
        <w:gridCol w:w="239"/>
        <w:gridCol w:w="955"/>
        <w:gridCol w:w="124"/>
        <w:gridCol w:w="109"/>
        <w:gridCol w:w="109"/>
        <w:gridCol w:w="109"/>
        <w:gridCol w:w="211"/>
        <w:gridCol w:w="976"/>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w:t>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3,872,764 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3,899,088 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2,401,711 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1,471,053 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1,505,493 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973,568</w:t>
            </w: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(35,991)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996,630</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497,485</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508,863</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104,224 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115,053 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6"/>
        <w:gridCol w:w="1050"/>
        <w:gridCol w:w="991"/>
        <w:gridCol w:w="109"/>
        <w:gridCol w:w="109"/>
        <w:gridCol w:w="109"/>
        <w:gridCol w:w="298"/>
        <w:gridCol w:w="1380"/>
        <w:gridCol w:w="153"/>
        <w:gridCol w:w="109"/>
        <w:gridCol w:w="109"/>
        <w:gridCol w:w="109"/>
        <w:gridCol w:w="211"/>
        <w:gridCol w:w="826"/>
        <w:gridCol w:w="109"/>
        <w:gridCol w:w="109"/>
        <w:gridCol w:w="109"/>
        <w:gridCol w:w="109"/>
        <w:gridCol w:w="239"/>
        <w:gridCol w:w="955"/>
        <w:gridCol w:w="124"/>
        <w:gridCol w:w="109"/>
        <w:gridCol w:w="109"/>
        <w:gridCol w:w="109"/>
        <w:gridCol w:w="211"/>
        <w:gridCol w:w="976"/>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2025</w:t>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3,414,158 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(134,174)</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3,435,496 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1,337,822 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1,369,600 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886,715</w:t>
            </w: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(33,561)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907,696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451,107</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461,904</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97,437 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108,138 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entire net sales elimination represents net sales from the All Other operating segment to the Nonalcoholic Beverages operating segment. The entire cost of goods sold and SD&amp;A eliminations represent costs incurred by the All Other operating segment in the generation of net sales to the Nonalcoholic Beverages operating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Payroll costs includes compensation, incentive plans, defined contribution plans, healthcare benefits and tax-advantaged spending accounts.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Fleet costs includes fleet repairs, maintenance and fuel and oil costs.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All other segment items includes information technology costs, stewardship, insurance and other costs incurred in the selling and delivery of the Company’s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Results (Non-GAAP)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in addition to the measures reported in accordance with GAAP,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reported results (GAAP) to adjusted results (non-GAAP) for the second quarter of 2026 and the second quarter of 2025:</w:t>
      </w:r>
    </w:p>
    <w:p>
      <w:pPr>
        <w:pStyle w:val="TextBody"/>
        <w:bidi w:val="0"/>
        <w:spacing w:before="0" w:after="0"/>
        <w:jc w:val="left"/>
        <w:rPr/>
      </w:pPr>
      <w:r>
        <w:rPr/>
      </w:r>
    </w:p>
    <w:tbl>
      <w:tblPr>
        <w:tblW w:w="11896"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841"/>
        <w:gridCol w:w="271"/>
        <w:gridCol w:w="109"/>
        <w:gridCol w:w="109"/>
        <w:gridCol w:w="109"/>
        <w:gridCol w:w="211"/>
        <w:gridCol w:w="841"/>
        <w:gridCol w:w="109"/>
        <w:gridCol w:w="109"/>
        <w:gridCol w:w="109"/>
        <w:gridCol w:w="109"/>
        <w:gridCol w:w="211"/>
        <w:gridCol w:w="841"/>
        <w:gridCol w:w="271"/>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2026</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net income per share</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2,052,420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778,413</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507,074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271,339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215,120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10,086</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13,609</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2,052,420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788,499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503,551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284,948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253,452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Reported margin percentage</w:t>
            </w:r>
            <w:r>
              <w:rPr>
                <w:rFonts w:ascii="Times New Roman;serif" w:hAnsi="Times New Roman;serif"/>
                <w:b w:val="false"/>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Adjusted margin percentage</w:t>
            </w:r>
            <w:r>
              <w:rPr>
                <w:rFonts w:ascii="Times New Roman;serif" w:hAnsi="Times New Roman;serif"/>
                <w:b w:val="false"/>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896"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841"/>
        <w:gridCol w:w="271"/>
        <w:gridCol w:w="109"/>
        <w:gridCol w:w="109"/>
        <w:gridCol w:w="109"/>
        <w:gridCol w:w="211"/>
        <w:gridCol w:w="841"/>
        <w:gridCol w:w="109"/>
        <w:gridCol w:w="109"/>
        <w:gridCol w:w="109"/>
        <w:gridCol w:w="109"/>
        <w:gridCol w:w="211"/>
        <w:gridCol w:w="841"/>
        <w:gridCol w:w="271"/>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net income per share</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1,855,519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742,496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470,412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272,084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252,992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1,855,519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741,176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270,075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263,373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Reported margin percentage</w:t>
            </w:r>
            <w:r>
              <w:rPr>
                <w:rFonts w:ascii="Times New Roman;serif" w:hAnsi="Times New Roman;serif"/>
                <w:b w:val="false"/>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Adjusted margin percentage</w:t>
            </w:r>
            <w:r>
              <w:rPr>
                <w:rFonts w:ascii="Times New Roman;serif" w:hAnsi="Times New Roman;serif"/>
                <w:b w:val="false"/>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for the first half of 2026 include six additional days compared to the first half of 2025. For comparison purposes, the estimated impact of the additional selling days in the first half of 2026 has been excluded from our adjusted volume results and adjusted net sales results.</w:t>
      </w:r>
    </w:p>
    <w:p>
      <w:pPr>
        <w:pStyle w:val="TextBody"/>
        <w:bidi w:val="0"/>
        <w:spacing w:before="0" w:after="0"/>
        <w:jc w:val="left"/>
        <w:rPr/>
      </w:pPr>
      <w:r>
        <w:rPr/>
      </w:r>
    </w:p>
    <w:tbl>
      <w:tblPr>
        <w:tblW w:w="8485" w:type="dxa"/>
        <w:jc w:val="left"/>
        <w:tblInd w:w="0" w:type="dxa"/>
        <w:tblLayout w:type="fixed"/>
        <w:tblCellMar>
          <w:top w:w="28" w:type="dxa"/>
          <w:left w:w="28" w:type="dxa"/>
          <w:bottom w:w="28" w:type="dxa"/>
          <w:right w:w="28" w:type="dxa"/>
        </w:tblCellMar>
      </w:tblPr>
      <w:tblGrid>
        <w:gridCol w:w="1343"/>
        <w:gridCol w:w="1176"/>
        <w:gridCol w:w="1186"/>
        <w:gridCol w:w="109"/>
        <w:gridCol w:w="109"/>
        <w:gridCol w:w="109"/>
        <w:gridCol w:w="315"/>
        <w:gridCol w:w="316"/>
        <w:gridCol w:w="316"/>
        <w:gridCol w:w="109"/>
        <w:gridCol w:w="109"/>
        <w:gridCol w:w="109"/>
        <w:gridCol w:w="263"/>
        <w:gridCol w:w="263"/>
        <w:gridCol w:w="151"/>
        <w:gridCol w:w="109"/>
        <w:gridCol w:w="109"/>
        <w:gridCol w:w="109"/>
        <w:gridCol w:w="315"/>
        <w:gridCol w:w="316"/>
        <w:gridCol w:w="191"/>
        <w:gridCol w:w="109"/>
        <w:gridCol w:w="109"/>
        <w:gridCol w:w="109"/>
        <w:gridCol w:w="109"/>
        <w:gridCol w:w="109"/>
        <w:gridCol w:w="109"/>
        <w:gridCol w:w="109"/>
        <w:gridCol w:w="109"/>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138.0</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w:t>
            </w:r>
            <w:r>
              <w:rPr>
                <w:color w:val="000000"/>
              </w:rPr>
              <w:t>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w:t>
            </w: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179.3</w:t>
            </w:r>
            <w:r>
              <w:rPr>
                <w:color w:val="000000"/>
              </w:rPr>
              <w:t>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566" w:type="dxa"/>
        <w:jc w:val="left"/>
        <w:tblInd w:w="0" w:type="dxa"/>
        <w:tblLayout w:type="fixed"/>
        <w:tblCellMar>
          <w:top w:w="28" w:type="dxa"/>
          <w:left w:w="28" w:type="dxa"/>
          <w:bottom w:w="28" w:type="dxa"/>
          <w:right w:w="28" w:type="dxa"/>
        </w:tblCellMar>
      </w:tblPr>
      <w:tblGrid>
        <w:gridCol w:w="1207"/>
        <w:gridCol w:w="1057"/>
        <w:gridCol w:w="1066"/>
        <w:gridCol w:w="109"/>
        <w:gridCol w:w="109"/>
        <w:gridCol w:w="109"/>
        <w:gridCol w:w="315"/>
        <w:gridCol w:w="316"/>
        <w:gridCol w:w="526"/>
        <w:gridCol w:w="109"/>
        <w:gridCol w:w="109"/>
        <w:gridCol w:w="109"/>
        <w:gridCol w:w="263"/>
        <w:gridCol w:w="263"/>
        <w:gridCol w:w="271"/>
        <w:gridCol w:w="109"/>
        <w:gridCol w:w="109"/>
        <w:gridCol w:w="109"/>
        <w:gridCol w:w="315"/>
        <w:gridCol w:w="316"/>
        <w:gridCol w:w="317"/>
        <w:gridCol w:w="109"/>
        <w:gridCol w:w="109"/>
        <w:gridCol w:w="109"/>
        <w:gridCol w:w="109"/>
        <w:gridCol w:w="109"/>
        <w:gridCol w:w="109"/>
        <w:gridCol w:w="109"/>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w:t>
            </w:r>
            <w:r>
              <w:rPr>
                <w:color w:val="000000"/>
              </w:rPr>
              <w:t>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167.4</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Reported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9.4 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10.3 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5"/>
        <w:gridCol w:w="1445"/>
        <w:gridCol w:w="1457"/>
        <w:gridCol w:w="109"/>
        <w:gridCol w:w="109"/>
        <w:gridCol w:w="109"/>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109"/>
        <w:gridCol w:w="109"/>
        <w:gridCol w:w="109"/>
        <w:gridCol w:w="109"/>
        <w:gridCol w:w="109"/>
        <w:gridCol w:w="109"/>
        <w:gridCol w:w="109"/>
        <w:gridCol w:w="109"/>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Bottle/can beverage sales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3,459.2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53" w:type="dxa"/>
        <w:jc w:val="left"/>
        <w:tblInd w:w="0" w:type="dxa"/>
        <w:tblLayout w:type="fixed"/>
        <w:tblCellMar>
          <w:top w:w="28" w:type="dxa"/>
          <w:left w:w="28" w:type="dxa"/>
          <w:bottom w:w="28" w:type="dxa"/>
          <w:right w:w="28" w:type="dxa"/>
        </w:tblCellMar>
      </w:tblPr>
      <w:tblGrid>
        <w:gridCol w:w="1207"/>
        <w:gridCol w:w="1057"/>
        <w:gridCol w:w="1066"/>
        <w:gridCol w:w="109"/>
        <w:gridCol w:w="109"/>
        <w:gridCol w:w="109"/>
        <w:gridCol w:w="211"/>
        <w:gridCol w:w="781"/>
        <w:gridCol w:w="271"/>
        <w:gridCol w:w="109"/>
        <w:gridCol w:w="109"/>
        <w:gridCol w:w="109"/>
        <w:gridCol w:w="211"/>
        <w:gridCol w:w="781"/>
        <w:gridCol w:w="271"/>
        <w:gridCol w:w="109"/>
        <w:gridCol w:w="109"/>
        <w:gridCol w:w="109"/>
        <w:gridCol w:w="211"/>
        <w:gridCol w:w="781"/>
        <w:gridCol w:w="271"/>
        <w:gridCol w:w="109"/>
        <w:gridCol w:w="109"/>
        <w:gridCol w:w="109"/>
        <w:gridCol w:w="109"/>
        <w:gridCol w:w="109"/>
        <w:gridCol w:w="109"/>
        <w:gridCol w:w="109"/>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2,013.8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1,135.2</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3,149.0</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Reported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reported results (GAAP) to adjusted results (non-GAAP) for the first half of 2026 and the first half of 2025:</w:t>
      </w:r>
    </w:p>
    <w:p>
      <w:pPr>
        <w:pStyle w:val="TextBody"/>
        <w:bidi w:val="0"/>
        <w:spacing w:before="0" w:after="0"/>
        <w:jc w:val="left"/>
        <w:rPr/>
      </w:pPr>
      <w:r>
        <w:rPr/>
      </w:r>
    </w:p>
    <w:tbl>
      <w:tblPr>
        <w:tblW w:w="11747"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6"/>
        <w:gridCol w:w="540"/>
        <w:gridCol w:w="160"/>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First Half 2026</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w:t>
              <w:br/>
              <w:t>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net income per share</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3,899,088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1,505,493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508,863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366,339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270,377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Results of extra days in fiscal period</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3,767,088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1,458,081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978,484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415,187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307,160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747"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6"/>
        <w:gridCol w:w="540"/>
        <w:gridCol w:w="160"/>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First Half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w:t>
              <w:br/>
              <w:t>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net income per share</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3,435,496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1,369,600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907,696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461,904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392,465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0.47</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3,435,496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1,369,079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908,550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460,529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446,208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331,413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an explanation of non-GAAP adjustments: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This non-cash, fair value adjustment of acquisition related contingent consideration fluctuates based on factors such as long-term interest rates and future cash flow projections of the distribution territories subject to acquisition related sub-bottling payments.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enters into commodity derivative instruments from time to time to hedge some of its projected purchases of aluminum, as well as some or all of its projected purchases of PET resin, diesel fuel and unleaded gasoline in order to mitigate commodity price risk. The Company accounts for its commodity derivative instruments on a mark-to-market basis.</w:t>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0"/>
        </w:rPr>
        <w:t>Reported gross margin and reported operating margin are calculated as gross profit and operating income, respectively, as a percentage of net sales. Adjusted gross margin and adjusted operating margin are calculated as adjusted gross profit and adjusted operating income, respectively, which adjust for the impact of fair value changes to our commodity derivative instruments, as a percentage of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Due to the shift in the fiscal calendar, the first half of 2026 contained six extra days when compared to the first half of 2025. The fourth quarter of 2026 will include six fewer days as compared to the fourth quarter of 2025. The full fiscal years of 2026 and 2025 have the same number of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were $4.43 billion as of July 3, 2026, which was an increase of $129.5 million from December 31, 2025. Net working capital, defined as current assets less current liabilities, was $266.4 million as of July 3, 2026, which was a decrease of $31.6 million from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changes in net working capital as of July 3, 2026 as compared to December 31,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cash and cash equivalents of $110.2 million, primarily as a result of the repayment of $275 million on the Five-Year Term Loan Facility (as defined below) and additions to property, plant and equipment of approximately $147 million during the first half of 2026, partially offset by the Company’s strong operating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accounts receivable, trade of $123.2 million and an increase in accounts receivable from The Coca-Cola Company of $56.1 million due to strong sales performance and the timing of cash receipts.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inventories of $34.8 million, primarily driven by the timing of seasonal inventory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accounts payable, trade of $66.0 million and an increase in accounts payable to The Coca-Cola Company of $116.8 million, primarily driven by the timing of cash payments.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accrued compensation of $41.1 million, primarily as a result of the timing of bonus and incentive payments in the first half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sources of capital include cash flows from operations, available credit facilities and the issuance of debt and equity securities. As of July 3, 2026, the Company had $171.7 million in cash and cash equivalents. The Company’s cash equivalent balance as of July 3, 2026 consisted predominantly of investments in money market funds. As of July 3, 2026, the Company did not have any short-term investments. Historically, short-term investments have consisted primarily of U.S. Treasury securities and investment-grade corporate bonds with maturities of one year or less. The Company has obtained its debt from public markets, private placements and bank facilities. Management believes the Company has sufficient sources of capital available to finance its business plan, to meet its working capital requirements and to maintain an appropriate level of capital spending for at least the next 12 months from the issuance of the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November 7, 2025, the Company entered into a purchase agreement (the “Repurchase Agreement”) with Carolina Coca-Cola Bottling Investments, Inc. (the</w:t>
      </w:r>
      <w:r>
        <w:rPr>
          <w:color w:val="000000"/>
        </w:rPr>
        <w:t xml:space="preserve"> “</w:t>
      </w:r>
      <w:r>
        <w:rPr>
          <w:rFonts w:ascii="Times New Roman;serif" w:hAnsi="Times New Roman;serif"/>
          <w:b w:val="false"/>
          <w:color w:val="000000"/>
          <w:sz w:val="20"/>
        </w:rPr>
        <w:t>Seller”), an indirect wholly owned subsidiary of The Coca</w:t>
        <w:noBreakHyphen/>
        <w:t>Cola Company, The Coca</w:t>
        <w:noBreakHyphen/>
        <w:t>Cola Company and J. Frank Harrison, III, Chairman of the Board of Directors and Chief Executive Officer of the Company, pursuant to which the Company agreed to purchase and the Seller agreed to sell all of the Seller’s shares of Common Stock for a cash payment in the aggregate amount of $2.40 billion (the “Repurchase”). The closing of the Repurchase also occurred on November 7, 2025. The Company funded the purchase price for the Repurchase with cash on hand and a term loan obtained under a certain bridge loan agreement (the “Bridge Facility”), as further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Repurchase, the 18,835,460 shares of Common Stock repurchased from the Seller were retired and recorded as a reduction to Common Stock at par value, with the excess of carrying value over par value recorded as a deduction from retained (deficit) earnings. As a result, the Company was in a deficit position as of July 3, 2026. This deficit position does not impact the Company’s ability to pay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4, 2025, the Company announced that its Board of Directors had approved a 10-for-1 forward stock split (the “Stock Split”) of Common Stock and its Class B Common Stock, par value $1.00 per share (“Class B Common Stock”). The Stock Split was effected through an amendment to the Company’s Restated Certificate of Incorporation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The par value per share of Common Stock and Class B Common Stock remains unchanged.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Company expects share repurchases to be made from time to time in the open market or through private transactions or block trades. The timing and amount of repurchases will depend on market conditions, the prevailing market price, applicable legal requirements and other factors. The share repurchase authorization is discretionary and has no expiration date. During the second quarter of 2026, the Company did not repurchase any shares of Common Stock under the Share Repurchase Program. As of July 3, 2026, the total remaining authorization under the Share Repurchase Program was $136.3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as of July 3, 2026 and December 31, 2025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6"/>
        <w:gridCol w:w="1544"/>
        <w:gridCol w:w="1547"/>
        <w:gridCol w:w="109"/>
        <w:gridCol w:w="109"/>
        <w:gridCol w:w="109"/>
        <w:gridCol w:w="432"/>
        <w:gridCol w:w="432"/>
        <w:gridCol w:w="434"/>
        <w:gridCol w:w="109"/>
        <w:gridCol w:w="109"/>
        <w:gridCol w:w="109"/>
        <w:gridCol w:w="211"/>
        <w:gridCol w:w="991"/>
        <w:gridCol w:w="109"/>
        <w:gridCol w:w="109"/>
        <w:gridCol w:w="109"/>
        <w:gridCol w:w="109"/>
        <w:gridCol w:w="274"/>
        <w:gridCol w:w="1290"/>
        <w:gridCol w:w="204"/>
      </w:tblGrid>
      <w:tr>
        <w:trPr/>
        <w:tc>
          <w:tcPr>
            <w:tcW w:w="175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“Three-Year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“2029 Senior Bonds”)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“Five-Year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bonds (the “2034 Senior Bonds”)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 on senior bonds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2,513,112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2,786,009</w:t>
            </w: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portion of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2,413,112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2,686,009</w:t>
            </w:r>
            <w:r>
              <w:rPr>
                <w:color w:val="000000"/>
              </w:rPr>
              <w:t>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July 3, 2026 and December 31, 2025, the senior notes maturing in 2026 were classified as current portion of debt in the condensed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Term Loan Facilities (as defined below) were issued in connection with the financing of the Repurchase, as further discussed above.</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2029 Senior Bonds were issued at 99.843% of par.</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2034 Senior Bonds were issued at 99.893% of par.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entered into the Bridge Facility, dated as of November 7, 2025, providing for a 364-day senior unsecured bridge term loan facility in the aggregate principal amount of $1.20 billion to fund the Repurchase. Also on November 7, 2025, the Company borrowed $1.20 billion under the Bridge Facility, the full amount available under the Bridge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 Loan Facilities, the Company modified and extinguished the Bridge Facility discussed above, fully repaying the $1.20 billion outstanding under the Bridge Facility through a net cash settlement with the lender. As of July 3, 2026, the Company has repaid $275 million of the $450 million aggregate principal balance outstanding under the Five-Year Term Loan Facility using cash on hand, bringing the aggregate principal balance outstanding to $175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under which the 2029 Senior Bonds and the 2034 Senior Bonds were issued does not include financial covenants, but does limit the incurrence of certain liens and encumbrances as well as indebtedness by the Company’s subsidiaries in excess of certain amounts. The agreements under which the Company’s nonpublic debt, including its revolving credit facility and the Term Loan Facilities, was issued include two financial covenants: a consolidated cash flow/fixed charges ratio and a consolidated funded indebtedness/cash flow ratio (each as defined in the respective agreement). The Company was in compliance with these covenants as of July 3, 2026. These covenants have not restricted the Company’s liquidity or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Company entered into three $150 million fixed rate swap agreements, maturing on February 8, 2027, August 8, 2027 and February 8, 2028 to hedge a portion of the interest rate risk on the Three-Year Term Loan Facility and the Five-Year Term Loan Facility. Over the next 12 months, the Company expects approximately $2 million related to these interest rate swaps to be released from accumulated other comprehensive loss. These interest rate swaps are designated as cash flow hedging instruments and changes in their fair values are not expected to be material to the condensed consolidated balance sheets. Changes in the fair values of these interest rate swaps were classified as accumulated other comprehensive loss on the condensed consolidated balance sheets and included in the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outstanding debt has been issued by the Company and none has been issued by any of its subsidiaries. There are no guarantees of the Company’s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credit ratings are reviewed periodically by certain nationally recognized rating agencies. Changes in the Company’s operating results or financial position could result in changes in the Company’s credit ratings. Lower credit ratings could result in higher borrowing costs for the Company or reduced access to capital markets, which could have a material adverse impact on the Company’s operating results or financial position. As of July 3, 2026, the Company’s credit ratings and outlook for its debt were as follows:</w: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576"/>
        <w:gridCol w:w="505"/>
        <w:gridCol w:w="509"/>
        <w:gridCol w:w="109"/>
        <w:gridCol w:w="109"/>
        <w:gridCol w:w="109"/>
        <w:gridCol w:w="419"/>
        <w:gridCol w:w="419"/>
        <w:gridCol w:w="421"/>
        <w:gridCol w:w="109"/>
        <w:gridCol w:w="109"/>
        <w:gridCol w:w="109"/>
        <w:gridCol w:w="425"/>
        <w:gridCol w:w="425"/>
        <w:gridCol w:w="60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 Outlook</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declared, and the Company has paid, dividends on the Common Stock and the Class B Common Stock and each class of common stock has participated equally in all dividends declared by the Board of Directors and paid by the Company for more than 30 years. The amount and frequency of future dividends will be determined by the Company’s Board of Directors in light of the earnings and financial condition of the Company at such time, and no assurance can be given that dividends will be declared or paid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supplier terms and conditions on an ongoing basis, and we have negotiated payment term extensions in recent years in connection with our efforts to improve cash flow and working capital. Separate from those term extension actions, the Company has an agreement with a third-party financial institution to facilitate a supply chain finance program (the “SCF program”), which allows qualifying suppliers to sell their receivables from the Company to the financial institution in order to negotiate shorter payment terms on their outstanding receivable arrangements. The Company’s obligations to its suppliers, including amounts due and scheduled payment terms, are not impacted by a supplier’s participation in the SCF program. See Note 12 to the condensed consolidated financial statements for additional information related to the SCF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only Level 3 asset or liability is the acquisition related contingent consideration liability. There were no transfers of assets or liabilities from Level 1 or Level 2 in any period presented. Fair value adjustments were non-cash and, therefore, did not impact the Company’s liquidity or capital resources. Following is a summary of the Level 3 activity:</w:t>
      </w:r>
    </w:p>
    <w:p>
      <w:pPr>
        <w:pStyle w:val="TextBody"/>
        <w:bidi w:val="0"/>
        <w:spacing w:before="0" w:after="0"/>
        <w:jc w:val="left"/>
        <w:rPr/>
      </w:pPr>
      <w:r>
        <w:rPr/>
      </w:r>
    </w:p>
    <w:tbl>
      <w:tblPr>
        <w:tblW w:w="8212" w:type="dxa"/>
        <w:jc w:val="left"/>
        <w:tblInd w:w="0" w:type="dxa"/>
        <w:tblLayout w:type="fixed"/>
        <w:tblCellMar>
          <w:top w:w="28" w:type="dxa"/>
          <w:left w:w="28" w:type="dxa"/>
          <w:bottom w:w="28" w:type="dxa"/>
          <w:right w:w="28" w:type="dxa"/>
        </w:tblCellMar>
      </w:tblPr>
      <w:tblGrid>
        <w:gridCol w:w="1721"/>
        <w:gridCol w:w="1511"/>
        <w:gridCol w:w="1523"/>
        <w:gridCol w:w="109"/>
        <w:gridCol w:w="109"/>
        <w:gridCol w:w="109"/>
        <w:gridCol w:w="211"/>
        <w:gridCol w:w="841"/>
        <w:gridCol w:w="109"/>
        <w:gridCol w:w="109"/>
        <w:gridCol w:w="109"/>
        <w:gridCol w:w="109"/>
        <w:gridCol w:w="211"/>
        <w:gridCol w:w="841"/>
        <w:gridCol w:w="109"/>
        <w:gridCol w:w="109"/>
        <w:gridCol w:w="109"/>
        <w:gridCol w:w="109"/>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753,029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681,800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current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760,396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675,300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Sources and Uses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cash-based activity is as follows:</w:t>
      </w:r>
    </w:p>
    <w:p>
      <w:pPr>
        <w:pStyle w:val="TextBody"/>
        <w:bidi w:val="0"/>
        <w:spacing w:before="0" w:after="0"/>
        <w:jc w:val="left"/>
        <w:rPr/>
      </w:pPr>
      <w:r>
        <w:rPr/>
      </w:r>
    </w:p>
    <w:tbl>
      <w:tblPr>
        <w:tblW w:w="8766" w:type="dxa"/>
        <w:jc w:val="left"/>
        <w:tblInd w:w="0" w:type="dxa"/>
        <w:tblLayout w:type="fixed"/>
        <w:tblCellMar>
          <w:top w:w="28" w:type="dxa"/>
          <w:left w:w="28" w:type="dxa"/>
          <w:bottom w:w="28" w:type="dxa"/>
          <w:right w:w="28" w:type="dxa"/>
        </w:tblCellMar>
      </w:tblPr>
      <w:tblGrid>
        <w:gridCol w:w="2057"/>
        <w:gridCol w:w="1812"/>
        <w:gridCol w:w="1816"/>
        <w:gridCol w:w="109"/>
        <w:gridCol w:w="109"/>
        <w:gridCol w:w="109"/>
        <w:gridCol w:w="211"/>
        <w:gridCol w:w="901"/>
        <w:gridCol w:w="109"/>
        <w:gridCol w:w="109"/>
        <w:gridCol w:w="109"/>
        <w:gridCol w:w="109"/>
        <w:gridCol w:w="211"/>
        <w:gridCol w:w="841"/>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 by operating activities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disposal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420,981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636,983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531,212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552,882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(110,231)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84,101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0"/>
        </w:rPr>
        <w:t>Net cash provided by operating activities in the first half of 2026 included net income tax payments of $89.5 million and net interest payments of $66.1 million. Net cash provided by operating activities in the first half of 2025 included net income tax payments of $111.3 million and net interest payments of $43.7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cash provided by operating activities was $420.6 million, which was an increase of $14.4 million as compared to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cash used in investing activities was $156.9 million, which was a decrease of $50.4 million as compared to the first half of 2025. The decline in cash used in investing activities was primarily a result of the net outflow related to purchases and disposals of short-term investments of $45.7 million in the first half of 2025, as compared to no activity in the first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were $147.4 million during the first half of 2026 and $157.4 million during the first half of 2025. There were $27.4 million and $34.8 million of additions to property, plant and equipment accrued in accounts payable, trade as of July 3, 2026 and June 27,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additions to property, plant and equipment reflect the Company’s focus on optimizing its supply chain and investing for future growth. The Company anticipates additions to property, plant and equipment in 2026 will be approximately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cash used in financing activities was $373.9 million, which was an increase of $259 million as compared to the first half of 2025. The increase in cash used in financing activities was primarily driven by the repayment of $275 million of the $450 million aggregate principal balance outstanding under the Five-Year Term Loan Facility during the first half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cash payments for acquisition related contingent consideration of $37.1 million during the first half of 2026 and $35.2 million during the first half of 2025. For 2026, the Company estimates the annual sub-bottling payments will be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range of approximately $70 million to $80 million. For the next five future years (beginning with fiscal year 2027), the Company anticipates that the amount it could pay annually will be in the range of approximately $50 million to $70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Commodity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commodity derivative instruments, where practicable, to manage its exposure to fluctuations in certain commodity prices. Fees paid by the Company for commodity derivative instruments are amortized over the corresponding period of each instrument. The Company accounts for its commodity derivative instruments on a mark-to-market basis with any expense or income being reflected as an adjustment to cost of sales or SD&amp;A expenses, consistent with the expense classification of the underlying hedged item.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several different financial institutions for commodity derivative instruments to minimize the concentration of credit risk. The Company has master agreements with the counterparties to its commodity derivative instruments that provide for net settlement of derivative transactions. The net impact of the commodity derivative instruments on the condensed consolidated statements of operations was as follows:</w:t>
      </w:r>
    </w:p>
    <w:p>
      <w:pPr>
        <w:pStyle w:val="TextBody"/>
        <w:bidi w:val="0"/>
        <w:spacing w:before="0" w:after="0"/>
        <w:jc w:val="left"/>
        <w:rPr/>
      </w:pPr>
      <w:r>
        <w:rPr/>
      </w:r>
    </w:p>
    <w:tbl>
      <w:tblPr>
        <w:tblW w:w="8171" w:type="dxa"/>
        <w:jc w:val="left"/>
        <w:tblInd w:w="0" w:type="dxa"/>
        <w:tblLayout w:type="fixed"/>
        <w:tblCellMar>
          <w:top w:w="28" w:type="dxa"/>
          <w:left w:w="28" w:type="dxa"/>
          <w:bottom w:w="28" w:type="dxa"/>
          <w:right w:w="28" w:type="dxa"/>
        </w:tblCellMar>
      </w:tblPr>
      <w:tblGrid>
        <w:gridCol w:w="1156"/>
        <w:gridCol w:w="1018"/>
        <w:gridCol w:w="1020"/>
        <w:gridCol w:w="109"/>
        <w:gridCol w:w="109"/>
        <w:gridCol w:w="109"/>
        <w:gridCol w:w="211"/>
        <w:gridCol w:w="631"/>
        <w:gridCol w:w="109"/>
        <w:gridCol w:w="109"/>
        <w:gridCol w:w="109"/>
        <w:gridCol w:w="109"/>
        <w:gridCol w:w="211"/>
        <w:gridCol w:w="541"/>
        <w:gridCol w:w="109"/>
        <w:gridCol w:w="109"/>
        <w:gridCol w:w="109"/>
        <w:gridCol w:w="109"/>
        <w:gridCol w:w="211"/>
        <w:gridCol w:w="691"/>
        <w:gridCol w:w="109"/>
        <w:gridCol w:w="109"/>
        <w:gridCol w:w="109"/>
        <w:gridCol w:w="109"/>
        <w:gridCol w:w="211"/>
        <w:gridCol w:w="48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9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cost of sales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SD&amp;A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impact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6,452</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(895)</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(9,813)</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Certain statements made in this report, or in other public filings, press releases, or other written or oral communications made by the Company, which are not historical facts, are forward-looking statements subject to the safe harbor provisions of the Private Securities Litigation Reform Act of 1995. These forward-looking statements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w:t>
      </w:r>
      <w:r>
        <w:rPr>
          <w:rFonts w:ascii="Times New Roman;serif" w:hAnsi="Times New Roman;serif"/>
          <w:b w:val="false"/>
          <w:color w:val="000000"/>
          <w:sz w:val="20"/>
        </w:rPr>
        <w:t>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report. Factors that might cause the Company’s actual results to differ materially from those anticipated in forward-looking statements include, but are not limited to: increased costs (including due to inflation or uncertainty around tariffs) or disruption, unavailability or shortages of raw materials, fuel and other supplies; the reliance on purchased finished products from external sources; changes in public and consumer perception and preferences, including concerns related to product safety and sustainability, artificial ingredients, brand reputation and obesity; changes in government regulations related to nonalcoholic beverages, including regulations related to obesity, public health, artificial ingredients, recycling, sustainability, product safety and benefit programs, including SNAP; decreases from historic levels of marketing funding support provided to us by The Coca</w:t>
        <w:noBreakHyphen/>
        <w:t>Cola Company and other beverage companies; material changes in the performance requirements for marketing funding support or our inability to meet such requirements; decreases from historic levels of advertising, marketing and product innovation spending by The Coca</w:t>
        <w:noBreakHyphen/>
        <w:t>Cola Company</w:t>
      </w:r>
      <w:r>
        <w:rPr>
          <w:color w:val="000000"/>
          <w:shd w:fill="FFFFFF" w:val="clear"/>
        </w:rPr>
        <w:t xml:space="preserve"> </w:t>
      </w:r>
      <w:r>
        <w:rPr>
          <w:rFonts w:ascii="Times New Roman;serif" w:hAnsi="Times New Roman;serif"/>
          <w:b w:val="false"/>
          <w:color w:val="000000"/>
          <w:sz w:val="20"/>
          <w:shd w:fill="FFFFFF" w:val="clear"/>
        </w:rPr>
        <w:t>and other beverage companies, or advertising campaigns that are negatively perceived by the public;</w:t>
      </w:r>
      <w:r>
        <w:rPr>
          <w:color w:val="000000"/>
        </w:rPr>
        <w:t xml:space="preserve"> </w:t>
      </w:r>
      <w:r>
        <w:rPr>
          <w:rFonts w:ascii="Times New Roman;serif" w:hAnsi="Times New Roman;serif"/>
          <w:b w:val="false"/>
          <w:color w:val="000000"/>
          <w:sz w:val="20"/>
        </w:rPr>
        <w:t>any failure of the several Coca</w:t>
        <w:noBreakHyphen/>
        <w:t>Cola system governance entities of which we are a participant to function efficiently or in our best interest and any failure or delay of ours to receive anticipated benefits from these governance entities; provisions in our beverage distribution and manufacturing agreements with The Coca</w:t>
        <w:noBreakHyphen/>
        <w:t>Cola Company that could delay or prevent a change in control of us or a sale of our Coca</w:t>
        <w:noBreakHyphen/>
        <w:t xml:space="preserve">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information technology systems or our effective response to technology failures or cyberattacks on our third-party service providers’, business partners’, customers’, suppliers’ or other third parties’ information technology systems; unfavorable changes in the general economy; changes in trade policies, including the imposition of, or increase in, tariffs on imported goods; the concentration risks among our customers and suppliers;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 with tax authorities or additional tax liabilities; changes in legal contingencies; natural disasters, changing weather patterns and unfavorable weather, or the increased frequency of any such events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climate change, and public expectations around combatting climate change or legislative or regulatory responses to such change; and the risks discussed in “Item 1A. Risk Factors” of the Company’s Annual Report on Form 10-K for 2025 and elsewhere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Caution should be taken not to place undue reliance on the forward-looking statements included in this report. The Company assumes no obligation to update any forward-looking statements, except as may be required by law. In evaluating forward-looking statements, these risks and uncertainties should be considered, together with the other risks described from time to time in the Company’s reports and other filings with the United States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interest rate volatility with regard to existing issuances of debt, including its revolving credit facility and the Term Loan Facilities. The Company had outstanding borrowings under the Term Loan Facilities as of July 3, 2026 totaling $1.08 billion. Based on the Company’s variable rate debt and fixed rate interest rate swaps outstanding as of July 3, 2026, we estimate a 1% increase in interest rates would increase annual interest expense by $6.9 million. As of December 31, 2025, the Company had outstanding borrowings under the Term Loan Facilities totaling $1.35 billion and estimated a 1% increase in interest rates would increase annual interest expense by $13.5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acquisition related contingent consideration liability, which is adjusted to fair value each reporting period, is also impacted by changes in interest rates. The risk-free interest rate used to estimate the Company’s WACC is a component of the discount rate used to calculate the present value of future expected acquisition related sub-bottling payments due under the Company’s comprehensive beverage agreements. As a result, any changes in the underlying risk-free interest rate could result in material changes to the fair value of the acquisition related contingent consideration liability and could materially impact the amount of non-cash expense (or income) recorded each reporting period. The Company estimates a 10-basis point change in the underlying risk-free interest rate used to estimate the Company’s WACC would result in a change of approximately $7 million to the Company’s acquisition related contingent consideration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market risks and commodity price risk that arise in the ordinary course of business. The Company may enter into commodity derivative instruments to manage or reduce market risk. The Company does not use commodity derivative instruments for trading or speculative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subject to commodity price risk arising from price movements for certain commodities included as part of its input costs, which predominately relate to our Sparkling products. The Company estimates a 10% increase in the market prices of its key commodities, including aluminum, PET resin and high-fructose corn syrup, and excluding concentrate, over the current market prices would cumulatively increase costs during the next 12 months by approximately $35 million to $45 million assuming no change in volume.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commodity price risk in some cases by entering into contracts with adjustable prices to hedge commodity purchases, including portions of our aluminum input costs and fuel expenses related to our selling and distribution activities. The Company periodically uses commodity derivative instruments in the management of this risk, and estimates a 10% decrease in the underlying commodity prices would have decreased the fair value of our commodity derivative instruments by approximately $18 million as of July 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Fees paid by the Company for agreements to hedge commodity purchases are amortized over the corresponding period of each agreement. The Company accounts for its commodity derivative instruments on a mark-to-market basis with any expense or income being reflected as an adjustment to cost of sales or SD&amp;A expenses, consistent with the expense classification of the underlying hedged item.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rate of inflation in the United States, as measured by year-over-year changes in the Consumer Price Index, was 3.5% in June 2026, as compared to 2.7% in December 2025 and 2.9% in December 2024. Inflation in the prices of those commodities important to the Company’s business is reflected in changes in the Consumer Price Index.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effect of inflation in both commodity and consumer prices on the Company’s operating results is to increase both cost of goods sold and SD&amp;A expenses. Although the Company can offset these cost increases by increasing selling prices for its products, consumers may not have the buying power to cover these increased costs and may reduce their volume of purchases of those products. In that event, selling price increases may not be sufficient to offset completely the Company’s cost increases.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defined in Rule 13a-15(e) of the Securities Exchange Act of 1934, as amended (the “Exchange Act”)) pursuant to Rule 13a-15(b) of the Exchange Act. Based upon that evaluation, the Chief Executive Officer and the Chief Financial Officer concluded that the Company’s disclosure controls and procedures were effective as of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quarter ended July 3,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from those disclosed in “Item 1A. Risk Factors” of the Company’s Annual Report on Form 10</w:t>
        <w:noBreakHyphen/>
        <w:t>K for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July 3, 2026, none of our directors or officers (as defined in Rule 16a-1(f) of the Exchange Act) adopted, modified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1808"/>
        <w:gridCol w:w="1689"/>
        <w:gridCol w:w="1706"/>
        <w:gridCol w:w="109"/>
        <w:gridCol w:w="109"/>
        <w:gridCol w:w="109"/>
        <w:gridCol w:w="1041"/>
        <w:gridCol w:w="1041"/>
        <w:gridCol w:w="148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 or</w:t>
              <w:br/>
              <w:t>Filed/Furnished Herewith</w:t>
            </w:r>
          </w:p>
        </w:tc>
      </w:tr>
      <w:tr>
        <w:trPr/>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Company’s Quarterly Report on Form 10-Q for the quarter ended July 2, 2017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Company’s Current Report on Form 8-K filed on January 2, 2019 (File No. 0-9286).</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3.3 to the Company’s Quarterly Report on Form 10-Q for the quarter ended June 30, 2023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3.1 to the Company’s Current Report on Form 8-K filed on May 16, 2025 (File No. 0-9286). </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 to the Company’s Current Report on Form 8-K filed on January 2, 2019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oke-2026q2x10qxexx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oke-2026q2x10qxexx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oke-2026q2x10qxexx32.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0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305"/>
        <w:gridCol w:w="1305"/>
        <w:gridCol w:w="18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COCA-COLA CONSOLIDATED, INC.</w:t>
              <w:b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 Frank Harrison, III, certify that: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Coca-Cola Consolidated, Inc.;</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108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979"/>
        <w:gridCol w:w="979"/>
        <w:gridCol w:w="9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Frank Harrison,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 Frank Harrison, III </w:t>
              <w:br/>
              <w:t>Chairman of the Board of Directors</w:t>
              <w:br/>
              <w:t>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Matthew J. Blickley, certify that: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Coca-Cola Consolidated, Inc.;</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662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301"/>
        <w:gridCol w:w="1301"/>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Coca-Cola Consolidated, Inc. (the “Company”) for the quarter ended July 3, 2026, as filed with the United States Securities and Exchange Commission on the date hereof (the “Report”), we, J. Frank Harrison, III, Chairman of the Board of Directors and Chief Executive Officer of the Company, and Matthew J. Blickley, Chief Financial Officer and Chief Accounting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3672" w:type="dxa"/>
        <w:jc w:val="left"/>
        <w:tblInd w:w="0" w:type="dxa"/>
        <w:tblLayout w:type="fixed"/>
        <w:tblCellMar>
          <w:top w:w="28" w:type="dxa"/>
          <w:left w:w="28" w:type="dxa"/>
          <w:bottom w:w="28" w:type="dxa"/>
          <w:right w:w="28" w:type="dxa"/>
        </w:tblCellMar>
      </w:tblPr>
      <w:tblGrid>
        <w:gridCol w:w="1195"/>
        <w:gridCol w:w="1049"/>
        <w:gridCol w:w="1056"/>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Frank Harrison,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Frank Harrison, III</w:t>
              <w:br/>
              <w:t>Chairman of the Board of Directors and</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796" w:type="dxa"/>
        <w:jc w:val="left"/>
        <w:tblInd w:w="0" w:type="dxa"/>
        <w:tblLayout w:type="fixed"/>
        <w:tblCellMar>
          <w:top w:w="28" w:type="dxa"/>
          <w:left w:w="28" w:type="dxa"/>
          <w:bottom w:w="28" w:type="dxa"/>
          <w:right w:w="28" w:type="dxa"/>
        </w:tblCellMar>
      </w:tblPr>
      <w:tblGrid>
        <w:gridCol w:w="1602"/>
        <w:gridCol w:w="1409"/>
        <w:gridCol w:w="1413"/>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7540/000156459017016586/coke-ex31_322.htm" TargetMode="External"/><Relationship Id="rId3" Type="http://schemas.openxmlformats.org/officeDocument/2006/relationships/hyperlink" Target="https://www.sec.gov/Archives/edgar/data/317540/000119312519000734/d668179dex31.htm" TargetMode="External"/><Relationship Id="rId4" Type="http://schemas.openxmlformats.org/officeDocument/2006/relationships/hyperlink" Target="https://www.sec.gov/Archives/edgar/data/317540/000031754023000041/coke-2023q2x10qxexx33.htm" TargetMode="External"/><Relationship Id="rId5" Type="http://schemas.openxmlformats.org/officeDocument/2006/relationships/hyperlink" Target="https://www.sec.gov/Archives/edgar/data/317540/000031754025000062/ccci-certificateofamendmen.htm" TargetMode="External"/><Relationship Id="rId6" Type="http://schemas.openxmlformats.org/officeDocument/2006/relationships/hyperlink" Target="https://www.sec.gov/Archives/edgar/data/317540/000119312519000734/d668179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25902</Words>
  <Characters>144809</Characters>
  <CharactersWithSpaces>168491</CharactersWithSpaces>
  <Paragraphs>4332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