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78"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COCA-COLA CONSOLIDATED,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82" w:lineRule="auto"/>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rFonts w:ascii="MS PGothic" w:cs="MS PGothic" w:eastAsia="MS PGothic" w:hAnsi="MS PGothic"/>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-4559935</wp:posOffset>
            </wp:positionV>
            <wp:extent cx="6369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-4070985</wp:posOffset>
            </wp:positionV>
            <wp:extent cx="6369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-3453765</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-2965450</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-2476500</wp:posOffset>
            </wp:positionV>
            <wp:extent cx="6369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-1199515</wp:posOffset>
            </wp:positionV>
            <wp:extent cx="6369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-710565</wp:posOffset>
            </wp:positionV>
            <wp:extent cx="6369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-222250</wp:posOffset>
            </wp:positionV>
            <wp:extent cx="6369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257175</wp:posOffset>
            </wp:positionV>
            <wp:extent cx="6369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ectPr>
          <w:pgSz w:w="11900" w:h="16838" w:orient="portrait"/>
          <w:cols w:equalWidth="0" w:num="1">
            <w:col w:w="11060"/>
          </w:cols>
          <w:pgMar w:left="320" w:top="226" w:right="519" w:bottom="852"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2419985</wp:posOffset>
            </wp:positionV>
            <wp:extent cx="1637030" cy="1114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479"/>
        <w:spacing w:after="0"/>
        <w:rPr>
          <w:sz w:val="20"/>
          <w:szCs w:val="20"/>
          <w:color w:val="auto"/>
        </w:rPr>
      </w:pPr>
      <w:r>
        <w:rPr>
          <w:rFonts w:ascii="Arial" w:cs="Arial" w:eastAsia="Arial" w:hAnsi="Arial"/>
          <w:sz w:val="36"/>
          <w:szCs w:val="36"/>
          <w:b w:val="1"/>
          <w:bCs w:val="1"/>
          <w:color w:val="auto"/>
        </w:rPr>
        <w:t>COCA-COLA CONSOLIDATED,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738505</wp:posOffset>
            </wp:positionV>
            <wp:extent cx="2023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Notice of Annual Meeting</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and</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648335</wp:posOffset>
            </wp:positionV>
            <wp:extent cx="2023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2021 Annual Meeting of Stockholders</w:t>
      </w:r>
    </w:p>
    <w:p>
      <w:pPr>
        <w:spacing w:after="0" w:line="11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May 11, 2021</w:t>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208280</wp:posOffset>
            </wp:positionV>
            <wp:extent cx="1637030" cy="1114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Coca-Cola Consolidated,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4100 Coca-Cola Plaza</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Charlotte, North Carolina 28211</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22, 2021</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behalf of the Board of Directors and the management of Coca-Cola Consolidated, Inc., I invite you to the 2021 Annual Meeting of Stockholders (the “Annual Meeting”) to be held at 9:00 a.m., Eastern Time, on Tuesday, May 11, 2021. Due to the COVID-19 pandemic, the Annual Meeting will be held exclusively via live audio webcast at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 Details regarding how to participate in the Annual Meeting via live audio webcast and the business to be conducted are described in the accompanying Notice of 2021 Annual Meeting of Stockholders and Proxy Statement.</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Whether or not you plan to participate in the Annual Meeting, I strongly encourage you to vote as soon as possible to ensure that your shares are represented at the meeting. The accompanying Proxy Statement explains more about voting. Please read it carefully.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1294130"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 Frank Harrison, III</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COCA-COLA CONSOLIDATED, INC.</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4100 Coca-Cola Plaza</w:t>
      </w:r>
    </w:p>
    <w:p>
      <w:pPr>
        <w:jc w:val="center"/>
        <w:ind w:right="-119"/>
        <w:spacing w:after="0" w:line="232" w:lineRule="auto"/>
        <w:rPr>
          <w:sz w:val="20"/>
          <w:szCs w:val="20"/>
          <w:color w:val="auto"/>
        </w:rPr>
      </w:pPr>
      <w:r>
        <w:rPr>
          <w:rFonts w:ascii="Arial" w:cs="Arial" w:eastAsia="Arial" w:hAnsi="Arial"/>
          <w:sz w:val="17"/>
          <w:szCs w:val="17"/>
          <w:color w:val="auto"/>
        </w:rPr>
        <w:t>Charlotte, North Carolina 28211</w:t>
      </w:r>
    </w:p>
    <w:p>
      <w:pPr>
        <w:jc w:val="center"/>
        <w:ind w:right="-119"/>
        <w:spacing w:after="0"/>
        <w:rPr>
          <w:sz w:val="20"/>
          <w:szCs w:val="20"/>
          <w:color w:val="auto"/>
        </w:rPr>
      </w:pPr>
      <w:r>
        <w:rPr>
          <w:rFonts w:ascii="Arial" w:cs="Arial" w:eastAsia="Arial" w:hAnsi="Arial"/>
          <w:sz w:val="17"/>
          <w:szCs w:val="17"/>
          <w:color w:val="auto"/>
        </w:rPr>
        <w:t>(704) 557-4400</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2021 Annual Meeting of Stockholders</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22,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Stockholders of Coca-Cola Consolidated, Inc.:</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 xml:space="preserve">The 2021 Annual Meeting of Stockholders (the “Annual Meeting”) of Coca-Cola Consolidated, Inc. (the “Company”) will be held at 9:00 a.m., Eastern Time, on Tuesday, May 11, 2021 via live audio webcast at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 for the following purposes:</w:t>
      </w:r>
    </w:p>
    <w:p>
      <w:pPr>
        <w:spacing w:after="0" w:line="67"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13 directors nominated by the Board of Directors;</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to serve as the Company’s independent registered public accounting firm for fiscal 2021;</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stockholder proposal regarding development of a recapitalization plan;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2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Items 1 and 2 and “AGAINST” Item 3. The proxy holders will use their discretion to vote on other matters that may properly come before the Annual Meeting or any adjournment or postponement thereof.</w:t>
      </w:r>
    </w:p>
    <w:p>
      <w:pPr>
        <w:spacing w:after="0" w:line="15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Stockholders as of the close of business on March 15, 2021 will be entitled to vote during the Annual Meeting by visiting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 To participate in the Annual Meeting via live audio webcast, you will need the 16-digit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which can be found on the proxy card, voting instruction form or Notice of Internet Availability of Proxy Materials provided or the instructions that you receive by e-mail. The Annual Meeting will begin promptly at 9:00 a.m., Eastern Time. Online check-in will begin at 8:45 a.m., Eastern Time. Please allow ample time for the online check-in process.</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participate in the Annual Meeting, you are encouraged to vote as soon as possible to ensure that your shares are represented at the meeting. If you are a stockholder of record and received a paper copy of the proxy materials by mail, you may vote your shares by proxy using one of the following methods: (i) vote via the internet; (ii) vote by telephone; or (iii) complete, sign, date and return your proxy card in the postage-paid envelope provided. If you are a stockholder of record and received only a Notice of Internet Availability of Proxy Materials by mail, you may vote your shares by proxy at the internet site address listed on your Notice. If you hold your shares through an account with a bank, broker or similar organization, please follow the instructions you receive from the stockholder of record to vote your shares.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48602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60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 Beauregarde Fisher III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192405</wp:posOffset>
            </wp:positionV>
            <wp:extent cx="6998970" cy="758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758190"/>
                    </a:xfrm>
                    <a:prstGeom prst="rect">
                      <a:avLst/>
                    </a:prstGeom>
                    <a:noFill/>
                  </pic:spPr>
                </pic:pic>
              </a:graphicData>
            </a:graphic>
          </wp:anchor>
        </w:drawing>
      </w: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May 11, 2021:</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Notice of Annual Meeting and Proxy Statement and the 2020 Annual Report to Stockholders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Table of Contents</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6"/>
        </w:trPr>
        <w:tc>
          <w:tcPr>
            <w:tcW w:w="1780" w:type="dxa"/>
            <w:vAlign w:val="bottom"/>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General Information</w:t>
              </w:r>
            </w:hyperlink>
          </w:p>
        </w:tc>
        <w:tc>
          <w:tcPr>
            <w:tcW w:w="46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Security Ownership of Directors and Executive Officers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2240" w:type="dxa"/>
            <w:vAlign w:val="bottom"/>
            <w:gridSpan w:val="2"/>
          </w:tcPr>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Principal Stockholders</w:t>
              </w:r>
            </w:hyperlink>
          </w:p>
        </w:tc>
        <w:tc>
          <w:tcPr>
            <w:tcW w:w="83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1780" w:type="dxa"/>
            <w:vAlign w:val="bottom"/>
          </w:tcPr>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Proposal 1:</w:t>
              </w:r>
            </w:hyperlink>
          </w:p>
        </w:tc>
        <w:tc>
          <w:tcPr>
            <w:tcW w:w="8780" w:type="dxa"/>
            <w:vAlign w:val="bottom"/>
            <w:gridSpan w:val="2"/>
          </w:tcPr>
          <w:p>
            <w:pPr>
              <w:ind w:left="80"/>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Election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9"/>
        </w:trPr>
        <w:tc>
          <w:tcPr>
            <w:tcW w:w="1780" w:type="dxa"/>
            <w:vAlign w:val="bottom"/>
          </w:tcPr>
          <w:p>
            <w:pPr>
              <w:spacing w:after="0"/>
              <w:rPr>
                <w:sz w:val="21"/>
                <w:szCs w:val="21"/>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Director Nominees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240" w:type="dxa"/>
            <w:vAlign w:val="bottom"/>
            <w:gridSpan w:val="2"/>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Corporate Governance</w:t>
              </w:r>
            </w:hyperlink>
          </w:p>
        </w:tc>
        <w:tc>
          <w:tcPr>
            <w:tcW w:w="83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1780" w:type="dxa"/>
            <w:vAlign w:val="bottom"/>
          </w:tcPr>
          <w:p>
            <w:pPr>
              <w:spacing w:after="0"/>
              <w:rPr>
                <w:sz w:val="21"/>
                <w:szCs w:val="21"/>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The Board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Documents Available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Director Independence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Board Leadership Structure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Board Committees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Meeting Attendance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Nomination Process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Stockholder Recommendations of Director Candidates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Prohibitions Against Hedging or Short Selling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6"/>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Policy for Review of Related Person Transactions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Related Person Transactions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The Board’s Role in Risk Oversight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Communications with the Board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2240" w:type="dxa"/>
            <w:vAlign w:val="bottom"/>
            <w:gridSpan w:val="2"/>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Director Compensation</w:t>
              </w:r>
            </w:hyperlink>
          </w:p>
        </w:tc>
        <w:tc>
          <w:tcPr>
            <w:tcW w:w="83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6"/>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Compensation Discussion and Analysis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Executive Compensation Tables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1780" w:type="dxa"/>
            <w:vAlign w:val="bottom"/>
          </w:tcPr>
          <w:p>
            <w:pPr>
              <w:spacing w:after="0"/>
              <w:rPr>
                <w:sz w:val="21"/>
                <w:szCs w:val="21"/>
                <w:color w:val="auto"/>
              </w:rPr>
            </w:pPr>
          </w:p>
        </w:tc>
        <w:tc>
          <w:tcPr>
            <w:tcW w:w="460" w:type="dxa"/>
            <w:vAlign w:val="bottom"/>
          </w:tcPr>
          <w:p>
            <w:pPr>
              <w:ind w:left="80"/>
              <w:spacing w:after="0"/>
              <w:rPr>
                <w:rFonts w:ascii="Arial" w:cs="Arial" w:eastAsia="Arial" w:hAnsi="Arial"/>
                <w:sz w:val="18"/>
                <w:szCs w:val="18"/>
                <w:color w:val="0000EE"/>
              </w:rPr>
            </w:pPr>
            <w:hyperlink w:anchor="page48">
              <w:r>
                <w:rPr>
                  <w:rFonts w:ascii="Arial" w:cs="Arial" w:eastAsia="Arial" w:hAnsi="Arial"/>
                  <w:sz w:val="18"/>
                  <w:szCs w:val="18"/>
                  <w:u w:val="single" w:color="auto"/>
                  <w:color w:val="0000EE"/>
                </w:rPr>
                <w:t>I</w:t>
              </w:r>
              <w:r>
                <w:rPr>
                  <w:rFonts w:ascii="Arial" w:cs="Arial" w:eastAsia="Arial" w:hAnsi="Arial"/>
                  <w:sz w:val="18"/>
                  <w:szCs w:val="18"/>
                  <w:color w:val="0000EE"/>
                </w:rPr>
                <w:t>.</w:t>
              </w:r>
            </w:hyperlink>
          </w:p>
        </w:tc>
        <w:tc>
          <w:tcPr>
            <w:tcW w:w="8320" w:type="dxa"/>
            <w:vAlign w:val="bottom"/>
          </w:tcPr>
          <w:p>
            <w:pPr>
              <w:ind w:left="1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2020 Summary Compensation Table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1780" w:type="dxa"/>
            <w:vAlign w:val="bottom"/>
          </w:tcPr>
          <w:p>
            <w:pPr>
              <w:spacing w:after="0"/>
              <w:rPr>
                <w:sz w:val="22"/>
                <w:szCs w:val="22"/>
                <w:color w:val="auto"/>
              </w:rPr>
            </w:pPr>
          </w:p>
        </w:tc>
        <w:tc>
          <w:tcPr>
            <w:tcW w:w="460" w:type="dxa"/>
            <w:vAlign w:val="bottom"/>
          </w:tcPr>
          <w:p>
            <w:pPr>
              <w:ind w:left="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II.</w:t>
              </w:r>
            </w:hyperlink>
          </w:p>
        </w:tc>
        <w:tc>
          <w:tcPr>
            <w:tcW w:w="8320" w:type="dxa"/>
            <w:vAlign w:val="bottom"/>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2020 Grants of Plan-Based Awards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1780" w:type="dxa"/>
            <w:vAlign w:val="bottom"/>
          </w:tcPr>
          <w:p>
            <w:pPr>
              <w:spacing w:after="0"/>
              <w:rPr>
                <w:sz w:val="22"/>
                <w:szCs w:val="22"/>
                <w:color w:val="auto"/>
              </w:rPr>
            </w:pPr>
          </w:p>
        </w:tc>
        <w:tc>
          <w:tcPr>
            <w:tcW w:w="460" w:type="dxa"/>
            <w:vAlign w:val="bottom"/>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III.</w:t>
              </w:r>
            </w:hyperlink>
          </w:p>
        </w:tc>
        <w:tc>
          <w:tcPr>
            <w:tcW w:w="8320" w:type="dxa"/>
            <w:vAlign w:val="bottom"/>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Defined Benefit Plans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56"/>
        </w:trPr>
        <w:tc>
          <w:tcPr>
            <w:tcW w:w="1780" w:type="dxa"/>
            <w:vAlign w:val="bottom"/>
          </w:tcPr>
          <w:p>
            <w:pPr>
              <w:spacing w:after="0"/>
              <w:rPr>
                <w:sz w:val="22"/>
                <w:szCs w:val="22"/>
                <w:color w:val="auto"/>
              </w:rPr>
            </w:pPr>
          </w:p>
        </w:tc>
        <w:tc>
          <w:tcPr>
            <w:tcW w:w="460" w:type="dxa"/>
            <w:vAlign w:val="bottom"/>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IV.</w:t>
              </w:r>
            </w:hyperlink>
          </w:p>
        </w:tc>
        <w:tc>
          <w:tcPr>
            <w:tcW w:w="8320" w:type="dxa"/>
            <w:vAlign w:val="bottom"/>
          </w:tcPr>
          <w:p>
            <w:pPr>
              <w:ind w:left="1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2020 Nonqualified Deferred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1780" w:type="dxa"/>
            <w:vAlign w:val="bottom"/>
          </w:tcPr>
          <w:p>
            <w:pPr>
              <w:spacing w:after="0"/>
              <w:rPr>
                <w:sz w:val="22"/>
                <w:szCs w:val="22"/>
                <w:color w:val="auto"/>
              </w:rPr>
            </w:pPr>
          </w:p>
        </w:tc>
        <w:tc>
          <w:tcPr>
            <w:tcW w:w="460" w:type="dxa"/>
            <w:vAlign w:val="bottom"/>
          </w:tcPr>
          <w:p>
            <w:pPr>
              <w:ind w:left="80"/>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V</w:t>
              </w:r>
              <w:r>
                <w:rPr>
                  <w:rFonts w:ascii="Arial" w:cs="Arial" w:eastAsia="Arial" w:hAnsi="Arial"/>
                  <w:sz w:val="18"/>
                  <w:szCs w:val="18"/>
                  <w:color w:val="0000EE"/>
                </w:rPr>
                <w:t>.</w:t>
              </w:r>
            </w:hyperlink>
          </w:p>
        </w:tc>
        <w:tc>
          <w:tcPr>
            <w:tcW w:w="8320" w:type="dxa"/>
            <w:vAlign w:val="bottom"/>
          </w:tcPr>
          <w:p>
            <w:pPr>
              <w:ind w:left="1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2020 Potential Payments Upon Termination or Change in Control</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6"/>
        </w:trPr>
        <w:tc>
          <w:tcPr>
            <w:tcW w:w="1780" w:type="dxa"/>
            <w:vAlign w:val="bottom"/>
          </w:tcPr>
          <w:p>
            <w:pPr>
              <w:spacing w:after="0"/>
              <w:rPr>
                <w:sz w:val="22"/>
                <w:szCs w:val="22"/>
                <w:color w:val="auto"/>
              </w:rPr>
            </w:pPr>
          </w:p>
        </w:tc>
        <w:tc>
          <w:tcPr>
            <w:tcW w:w="46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VI.</w:t>
              </w:r>
            </w:hyperlink>
          </w:p>
        </w:tc>
        <w:tc>
          <w:tcPr>
            <w:tcW w:w="8320" w:type="dxa"/>
            <w:vAlign w:val="bottom"/>
          </w:tcPr>
          <w:p>
            <w:pPr>
              <w:ind w:left="1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Pay Ratio Disclosure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5"/>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Equity Compensation Plan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6"/>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Consideration of Risk Related to Compensation Programs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Compensation Committee Interlocks and Insider Participation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6"/>
        </w:trPr>
        <w:tc>
          <w:tcPr>
            <w:tcW w:w="10560" w:type="dxa"/>
            <w:vAlign w:val="bottom"/>
            <w:gridSpan w:val="3"/>
          </w:tcPr>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Compensation Committee Report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2240" w:type="dxa"/>
            <w:vAlign w:val="bottom"/>
            <w:gridSpan w:val="2"/>
          </w:tcPr>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Audit Committee Report</w:t>
              </w:r>
            </w:hyperlink>
          </w:p>
        </w:tc>
        <w:tc>
          <w:tcPr>
            <w:tcW w:w="83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1780" w:type="dxa"/>
            <w:vAlign w:val="bottom"/>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Proposal 2:</w:t>
              </w:r>
            </w:hyperlink>
          </w:p>
        </w:tc>
        <w:tc>
          <w:tcPr>
            <w:tcW w:w="8780" w:type="dxa"/>
            <w:vAlign w:val="bottom"/>
            <w:gridSpan w:val="2"/>
          </w:tcPr>
          <w:p>
            <w:pPr>
              <w:ind w:left="80"/>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Ratification of the Appointment of Independent Registered Public Accounting Firm</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1780" w:type="dxa"/>
            <w:vAlign w:val="bottom"/>
          </w:tcPr>
          <w:p>
            <w:pPr>
              <w:spacing w:after="0"/>
              <w:rPr>
                <w:sz w:val="21"/>
                <w:szCs w:val="21"/>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Fees Paid to Independent Registered Public Accounting Firm</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1780" w:type="dxa"/>
            <w:vAlign w:val="bottom"/>
          </w:tcPr>
          <w:p>
            <w:pPr>
              <w:spacing w:after="0"/>
              <w:rPr>
                <w:sz w:val="22"/>
                <w:szCs w:val="22"/>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Audit Committee Pre-Approval of Audit and Non-Audit Services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178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Proposal 3:</w:t>
              </w:r>
            </w:hyperlink>
          </w:p>
        </w:tc>
        <w:tc>
          <w:tcPr>
            <w:tcW w:w="8780" w:type="dxa"/>
            <w:vAlign w:val="bottom"/>
            <w:gridSpan w:val="2"/>
          </w:tcPr>
          <w:p>
            <w:pPr>
              <w:ind w:left="80"/>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Stockholder Proposal</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9"/>
        </w:trPr>
        <w:tc>
          <w:tcPr>
            <w:tcW w:w="1780" w:type="dxa"/>
            <w:vAlign w:val="bottom"/>
          </w:tcPr>
          <w:p>
            <w:pPr>
              <w:spacing w:after="0"/>
              <w:rPr>
                <w:sz w:val="21"/>
                <w:szCs w:val="21"/>
                <w:color w:val="auto"/>
              </w:rPr>
            </w:pPr>
          </w:p>
        </w:tc>
        <w:tc>
          <w:tcPr>
            <w:tcW w:w="8780" w:type="dxa"/>
            <w:vAlign w:val="bottom"/>
            <w:gridSpan w:val="2"/>
          </w:tcPr>
          <w:p>
            <w:pPr>
              <w:ind w:left="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Board of Directors’ Statement in Opposition to the Proposal</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056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6"/>
        </w:trPr>
        <w:tc>
          <w:tcPr>
            <w:tcW w:w="1056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Additional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9"/>
        </w:trPr>
        <w:tc>
          <w:tcPr>
            <w:tcW w:w="10560" w:type="dxa"/>
            <w:vAlign w:val="bottom"/>
          </w:tcPr>
          <w:p>
            <w:pPr>
              <w:ind w:left="18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Stockholder Proposals for the 2022 Annual Meeting of Stockholders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6"/>
        </w:trPr>
        <w:tc>
          <w:tcPr>
            <w:tcW w:w="10560" w:type="dxa"/>
            <w:vAlign w:val="bottom"/>
          </w:tcPr>
          <w:p>
            <w:pPr>
              <w:ind w:left="18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2020 Annual Report to Stockholders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10560" w:type="dxa"/>
            <w:vAlign w:val="bottom"/>
          </w:tcPr>
          <w:p>
            <w:pPr>
              <w:ind w:left="18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Annual Report on Form 10-K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10560" w:type="dxa"/>
            <w:vAlign w:val="bottom"/>
          </w:tcPr>
          <w:p>
            <w:pPr>
              <w:ind w:left="18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Householding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184785</wp:posOffset>
            </wp:positionV>
            <wp:extent cx="977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(the “Board of Directors” or the “Board”) of Coca-Cola Consolidated, Inc. (“Coke Consolidated” or the “Company”) is providing these materials to you in connection with the 2021 Annual Meeting of Stockholders (the “Annual Meeting”). The Annual Meeting will be held at 9:00 a.m., Eastern Time, on Tuesday, May 11, 2021 via live audio webcast at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General Information</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these materials?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received these materials because the Board of Directors is soliciting your proxy to vote your shares at the Annual Meeting. This Proxy Statement includes information that Coke Consolidated is required to provide you under the Securities and Exchange Commission rules and regulations (the “SEC rules”) and is designed to assist you in voting your shares.</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Board is asking for your proxy. This means you authorize persons selected by the Company to vote your shares at the Annual Meeting in the way that you instruct. All shares represented by valid proxies received and not revoked before the Annual Meeting will be voted in accordance with the stockholder’s specific voting instructions.</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one-page notice regarding internet availability of proxy materials instead of a full set of proxy materials?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SEC rules allow companies to choose the method for delivery of proxy materials to stockholders. For most stockholders, the Company has elected to mail a notice regarding the availability of proxy materials on the internet (the “Notice of Internet Availability”), rather than sending a full set of these materials in the mail. The Notice of Internet Availability, or a full set of the proxy materials (including the Proxy Statement and form of proxy), as applicable, was sent to stockholders beginning March 22, 2021, and the proxy materials were posted on the investor relations portion of the Company’s website, </w:t>
      </w:r>
      <w:r>
        <w:rPr>
          <w:rFonts w:ascii="Times New Roman" w:cs="Times New Roman" w:eastAsia="Times New Roman" w:hAnsi="Times New Roman"/>
          <w:sz w:val="18"/>
          <w:szCs w:val="18"/>
          <w:i w:val="1"/>
          <w:iCs w:val="1"/>
          <w:color w:val="auto"/>
        </w:rPr>
        <w:t>www.cokeconsolidated.com</w:t>
      </w:r>
      <w:r>
        <w:rPr>
          <w:rFonts w:ascii="Times New Roman" w:cs="Times New Roman" w:eastAsia="Times New Roman" w:hAnsi="Times New Roman"/>
          <w:sz w:val="18"/>
          <w:szCs w:val="18"/>
          <w:color w:val="auto"/>
        </w:rPr>
        <w:t>, and on the website referenced in the Notice of Internet Availability on the same day. Utilizing this method of proxy delivery expedites receipt of proxy materials by the Company’s stockholders and lowers the cost of the Annual Meeting. If you would like to receive a paper or e-mail copy of the proxy materials, you should follow the instructions in the Notice of Internet Availability for requesting a copy.</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included in these materials?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materials include:</w:t>
      </w:r>
    </w:p>
    <w:p>
      <w:pPr>
        <w:spacing w:after="0" w:line="13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Annual Meeting and Proxy Statement;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Annual Report to Stockholders, which contains the Company’s audited consolidated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received a paper copy of these materials by mail, these materials also include the proxy card or voting instruction form for the Annual Meeting.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items will be voted on at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131" w:lineRule="exact"/>
        <w:rPr>
          <w:sz w:val="20"/>
          <w:szCs w:val="20"/>
          <w:color w:val="auto"/>
        </w:rPr>
      </w:pPr>
    </w:p>
    <w:p>
      <w:pPr>
        <w:ind w:left="5580" w:right="5100" w:hanging="5032"/>
        <w:spacing w:after="0" w:line="367" w:lineRule="auto"/>
        <w:tabs>
          <w:tab w:leader="none" w:pos="108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the 13 directors nominated by the Board of Directors; 1</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to serve as the Company’s independent registered public accounting firm for fiscal 2021;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proposal regarding development of a recapitalization plan.</w:t>
      </w:r>
    </w:p>
    <w:p>
      <w:pPr>
        <w:spacing w:after="0" w:line="11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matters to be brought before the Annual Meeting. If other matters are properly raised at the Annual Meeting, the proxy holders may vote any shares represented by proxy in their discretion.</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voting recommendations?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unanimously recommends that you vote your shares:</w:t>
      </w:r>
    </w:p>
    <w:p>
      <w:pPr>
        <w:spacing w:after="0" w:line="127"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13 directors nominated by the Board of Directors;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to serve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fiscal 2021; and</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regarding development of a recapitalization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participate in the Annual Meeting?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Due to the COVID-19 pandemic, the Annual Meeting will be held exclusively via live audio webcast at </w:t>
      </w:r>
      <w:r>
        <w:rPr>
          <w:rFonts w:ascii="Times New Roman" w:cs="Times New Roman" w:eastAsia="Times New Roman" w:hAnsi="Times New Roman"/>
          <w:sz w:val="18"/>
          <w:szCs w:val="18"/>
          <w:i w:val="1"/>
          <w:iCs w:val="1"/>
          <w:color w:val="auto"/>
        </w:rPr>
        <w:t>www.virtualshareholdermeeting.com/</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COKE2021</w:t>
      </w:r>
      <w:r>
        <w:rPr>
          <w:rFonts w:ascii="Times New Roman" w:cs="Times New Roman" w:eastAsia="Times New Roman" w:hAnsi="Times New Roman"/>
          <w:sz w:val="18"/>
          <w:szCs w:val="18"/>
          <w:color w:val="auto"/>
        </w:rPr>
        <w:t>. Participation in the Annual Meeting is limited to:</w:t>
      </w:r>
    </w:p>
    <w:p>
      <w:pPr>
        <w:spacing w:after="0" w:line="112"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as of the close of business on March 15,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valid proxies for the Annual Meeting;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invited guests.</w:t>
      </w:r>
    </w:p>
    <w:p>
      <w:pPr>
        <w:spacing w:after="0" w:line="11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To participate in the Annual Meeting via live audio webcast, you will need the 16-digit control number, which can be found on the proxy card, voting instruction form or Notice of Internet Availability provided or the instructions that you receive by e-mail. The Annual Meeting will begin promptly at 9:00 a.m., Eastern Time, on Tuesday, May 11, 2021. Online check-in will begin at 8:45 a.m., Eastern Time. Please allow ample time for the online check-in process. If you encounter any difficulties accessing the live audio webcast of the Annual Meeting during the online check-in process or during the meeting itself, including any difficulties with your 16-digit control number, please call the technical support number available at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and who is entitled to vote?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set March 15, 2021 as the record date. As of the record date, there were 7,141,447 shares of Coke Consolidated Common Stock outstanding and 2,232,242 shares of Coke Consolidated Class B Common Stock outstanding. Each share of Common Stock outstanding on the record date is entitled to one vote and each share of Class B Common Stock outstanding on the record date is entitled to 20 votes on any matter properly presented at the Annual Meeting.</w:t>
      </w: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stockholder of record?</w:t>
      </w:r>
    </w:p>
    <w:p>
      <w:pPr>
        <w:spacing w:after="0" w:line="121" w:lineRule="exact"/>
        <w:rPr>
          <w:sz w:val="20"/>
          <w:szCs w:val="20"/>
          <w:color w:val="auto"/>
        </w:rPr>
      </w:pPr>
    </w:p>
    <w:p>
      <w:pPr>
        <w:jc w:val="both"/>
        <w:ind w:left="120" w:right="180"/>
        <w:spacing w:after="0" w:line="258" w:lineRule="auto"/>
        <w:rPr>
          <w:sz w:val="20"/>
          <w:szCs w:val="20"/>
          <w:color w:val="auto"/>
        </w:rPr>
      </w:pPr>
      <w:r>
        <w:rPr>
          <w:rFonts w:ascii="Times New Roman" w:cs="Times New Roman" w:eastAsia="Times New Roman" w:hAnsi="Times New Roman"/>
          <w:sz w:val="18"/>
          <w:szCs w:val="18"/>
          <w:color w:val="auto"/>
        </w:rPr>
        <w:t>A stockholder of record or registered stockholder is a stockholder whose ownership of Coke Consolidated stock is reflected directly on the books and records of the Company’s transfer agent, American Stock Transfer &amp; Trust Company, LLC. If you hold Coke Consolidated stock through an account with a bank, broker or similar organization, you are considered the beneficial owner of shares held in street name and are not a stockholder of record. For shares held in street name, the stockholder of record is your bank, broker or similar organization. Coke Consolidated only has access to ownership records for the registered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vote by any of the following methods:</w:t>
      </w:r>
    </w:p>
    <w:p>
      <w:pPr>
        <w:spacing w:after="0" w:line="129" w:lineRule="exact"/>
        <w:rPr>
          <w:sz w:val="20"/>
          <w:szCs w:val="20"/>
          <w:color w:val="auto"/>
        </w:rPr>
      </w:pPr>
    </w:p>
    <w:p>
      <w:pPr>
        <w:ind w:left="1080" w:right="200" w:hanging="532"/>
        <w:spacing w:after="0" w:line="267"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Electronically during the Annual Meeting</w:t>
      </w:r>
      <w:r>
        <w:rPr>
          <w:rFonts w:ascii="Times New Roman" w:cs="Times New Roman" w:eastAsia="Times New Roman" w:hAnsi="Times New Roman"/>
          <w:sz w:val="18"/>
          <w:szCs w:val="18"/>
          <w:color w:val="auto"/>
        </w:rPr>
        <w:t>. Stockholders of record and beneficial owners of shares held in street name may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Annual Meeting via live audio webcast and cast their vote online during the meeting prior to the closing of the polls by visiting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 or by telephone</w:t>
      </w:r>
      <w:r>
        <w:rPr>
          <w:rFonts w:ascii="Times New Roman" w:cs="Times New Roman" w:eastAsia="Times New Roman" w:hAnsi="Times New Roman"/>
          <w:sz w:val="18"/>
          <w:szCs w:val="18"/>
          <w:color w:val="auto"/>
        </w:rPr>
        <w:t>. Stockholders of record may vote by proxy, via the internet or by telephone,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proxy card or Notice of Internet Availability provided or the instructions that they receive by e-mail. If you are a beneficial owner of shares held in street name, your ability to vote via the internet or by telephone depends on the voting procedures of the stockholder of record (e.g., your bank, broker or other nominee). Please follow the instructions included in the voting instruction form or Notice of Internet Availability provided to you by the stockholder of record.</w:t>
      </w:r>
    </w:p>
    <w:p>
      <w:pPr>
        <w:spacing w:after="0" w:line="88" w:lineRule="exact"/>
        <w:rPr>
          <w:rFonts w:ascii="Times New Roman" w:cs="Times New Roman" w:eastAsia="Times New Roman" w:hAnsi="Times New Roman"/>
          <w:sz w:val="18"/>
          <w:szCs w:val="18"/>
          <w:color w:val="auto"/>
        </w:rPr>
      </w:pPr>
    </w:p>
    <w:p>
      <w:pPr>
        <w:ind w:left="1080" w:right="40" w:hanging="532"/>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Stockholders of record and beneficial owners of shares held in street name may vote by proxy by completing, signing, dating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the proxy card or voting instruction form provided.</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revoke my proxy or change my vote?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You may revoke your proxy or change your vote at any time prior to the taking of the vote at the Annual Meeting by</w:t>
      </w:r>
    </w:p>
    <w:p>
      <w:pPr>
        <w:spacing w:after="0" w:line="29" w:lineRule="exact"/>
        <w:rPr>
          <w:sz w:val="20"/>
          <w:szCs w:val="20"/>
          <w:color w:val="auto"/>
        </w:rPr>
      </w:pPr>
    </w:p>
    <w:p>
      <w:pPr>
        <w:ind w:left="120" w:right="80" w:hanging="4"/>
        <w:spacing w:after="0" w:line="25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notice of revocation to the Company’s Secretary at Coca-Cola Consolidated, Inc., 4100 Coca-Cola Plaza, Charlotte, North Carolina 28211; (ii) delivering a proxy bearing a later date using any of the voting methods described in the immediately preceding Q&amp;A, including via the internet or by telephone, and until the applicable deadline for each method specified in the accompanying proxy card or the Notice of Internet Availability; or (iii) participating in the Annual Meeting via live audio webcast and voting online during the meeting prior to the closing of the polls. Participation in the Annual Meeting will not cause your previously granted proxy to be revoked unless you vote online during the meeting prior to the closing of the polls. For all methods of voting, the last vote cast will supersede all previous votes.</w:t>
      </w:r>
    </w:p>
    <w:p>
      <w:pPr>
        <w:spacing w:after="0" w:line="80"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You may revoke or change your voting instructions by participating in the Annual Meeting via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audio webcast and voting online during the meeting prior to the closing of the polls or by following the specific instructions provided to you by the stockholder of record (e.g., your bank, broker or other nominee).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I vote by proxy and do not provide specific voting instructions?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and you vote by proxy, via the internet, by telephone or by returning a properly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proxy card by mail, without providing specific voting instructions, then the proxy holders will vote your shares in the manner recommended by the Board on all matters presented in this Proxy Statement and as the proxy holders may determine in their discretion for any other matters properly presented for a vote at the Annual Meeting.</w:t>
      </w:r>
    </w:p>
    <w:p>
      <w:pPr>
        <w:spacing w:after="0" w:line="7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 are a beneficial owner of shares held in street name and you do not provide the organization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matter with respect to your shares. This is referred to as a “broker non-vote.”</w:t>
      </w:r>
    </w:p>
    <w:p>
      <w:pPr>
        <w:spacing w:after="0" w:line="77"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Proposals 1 and 3, the election of directors and the stockholder proposal regarding development of a recapitalization plan, respectively, are “non-routine” matters. Consequently, without your voting instructions,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organization that holds your shares cannot vote your shares on these proposals. Proposal 2, the ratification of the appointment of PricewaterhouseCoopers LLP to serve as the Company’s independent registered public accounting firm for fiscal 2021, is considered a “routine” matter.</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133" w:lineRule="exact"/>
        <w:rPr>
          <w:sz w:val="20"/>
          <w:szCs w:val="20"/>
          <w:color w:val="auto"/>
        </w:rPr>
      </w:pPr>
    </w:p>
    <w:p>
      <w:pPr>
        <w:ind w:left="1080" w:right="120" w:hanging="532"/>
        <w:spacing w:after="0" w:line="26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1, Election of Directors. </w:t>
      </w:r>
      <w:r>
        <w:rPr>
          <w:rFonts w:ascii="Times New Roman" w:cs="Times New Roman" w:eastAsia="Times New Roman" w:hAnsi="Times New Roman"/>
          <w:sz w:val="18"/>
          <w:szCs w:val="18"/>
          <w:color w:val="auto"/>
        </w:rPr>
        <w:t>Directors shall be elected by a plurality of the votes cast (meaning that the 13 director nominees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the highest number of votes cast “for” their election will be elected as directors). There is no cumulative voting with respect to the election of directors.</w:t>
      </w:r>
    </w:p>
    <w:p>
      <w:pPr>
        <w:spacing w:after="0" w:line="78" w:lineRule="exact"/>
        <w:rPr>
          <w:rFonts w:ascii="Times New Roman" w:cs="Times New Roman" w:eastAsia="Times New Roman" w:hAnsi="Times New Roman"/>
          <w:sz w:val="18"/>
          <w:szCs w:val="18"/>
          <w:color w:val="auto"/>
        </w:rPr>
      </w:pPr>
    </w:p>
    <w:p>
      <w:pPr>
        <w:ind w:left="1080" w:right="40" w:hanging="532"/>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2, Ratification of the Appointment of Independent Registered Public Accounting Firm. </w:t>
      </w:r>
      <w:r>
        <w:rPr>
          <w:rFonts w:ascii="Times New Roman" w:cs="Times New Roman" w:eastAsia="Times New Roman" w:hAnsi="Times New Roman"/>
          <w:sz w:val="18"/>
          <w:szCs w:val="18"/>
          <w:color w:val="auto"/>
        </w:rPr>
        <w:t>Ratification of the appointment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LLP to serve as the Company’s independent registered public accounting firm for fiscal 2021 requires the affirmative vote of a majority of the total votes of all shares of Coke Consolidated Common Stock and Class B Common Stock present in person or represented by proxy and entitled to vote on the proposal at the Annual Meeting (meaning that of the total votes of all shares of Coke Consolidated Common Stock and Class B Common Stock represented at the Annual Meeting and entitled to vote, a majority of them must be voted “for” the proposal for it to be approved).</w:t>
      </w:r>
    </w:p>
    <w:p>
      <w:pPr>
        <w:spacing w:after="0" w:line="8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3, Stockholder Proposal. </w:t>
      </w:r>
      <w:r>
        <w:rPr>
          <w:rFonts w:ascii="Times New Roman" w:cs="Times New Roman" w:eastAsia="Times New Roman" w:hAnsi="Times New Roman"/>
          <w:sz w:val="18"/>
          <w:szCs w:val="18"/>
          <w:color w:val="auto"/>
        </w:rPr>
        <w:t>Approval of the stockholder proposal regarding development of a recapitalization plan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total votes of all shares of Coke Consolidated Common Stock and Class B Common Stock present in person or represented by proxy and entitled to vote on the proposal at the Annual Meeting (meaning that of the total votes of all shares of Coke Consolidated Common Stock and Class B Common Stock represented at the Annual Meeting and entitled to vote, a majority of them must be voted “for” the proposal for it to be approved).</w:t>
      </w:r>
    </w:p>
    <w:p>
      <w:pPr>
        <w:spacing w:after="0" w:line="88"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Items. </w:t>
      </w:r>
      <w:r>
        <w:rPr>
          <w:rFonts w:ascii="Times New Roman" w:cs="Times New Roman" w:eastAsia="Times New Roman" w:hAnsi="Times New Roman"/>
          <w:sz w:val="18"/>
          <w:szCs w:val="18"/>
          <w:color w:val="auto"/>
        </w:rPr>
        <w:t>Approval of any other matters requires the affirmative vote of a majority of the total votes of all shares of Coke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present in person or represented by proxy and entitled to vote on the item at the Annual Meeting (meaning that of the total votes of all shares of Coke Consolidated Common Stock and Class B Common Stock represented at the Annual Meeting and entitled to vote, a majority of them must be voted “for” the item for it to be approved).</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for the Annual Meeting? How are “withhold” votes, abstentions and broker non-votes treated?</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The presence, in person or by proxy, of the holders of a majority of the votes eligible to be cast by the holders of Coke Consolidated Common Stock and Class B Common Stock voting together as a class is necessary for the transaction of business at the Annual Meeting. Virtual attendance at the Annual Meeting constitutes presence in person for the purpose of establishing a quorum at the meeting. Your shares are counted as being present if you participate in the Annual Meeting via live audio webcast and cast your vote online during the meeting prior to the closing of the polls by visiting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 or if you vote by proxy, via the internet, by telephone or by returning a properly executed and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or voting instruction form by mail. “Withhold” votes, abstentions and broker non-votes are counted as present for the purpose of determining a quorum for the Annual Meeting; however, broker non-votes are not counted as present for the purpose of determining a quorum for Proposal 1, the election of directors.</w:t>
      </w:r>
    </w:p>
    <w:p>
      <w:pPr>
        <w:spacing w:after="0" w:line="8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With respect to Proposal 1, the election of directors, only “for” and “withhold” votes may be cast. Broker non-votes are not considered votes cast for the foregoing purpose and will therefore have no effect on the election of director nominees. “Withhold” votes will also have no effect on the election of director nominees.</w:t>
      </w:r>
    </w:p>
    <w:p>
      <w:pPr>
        <w:spacing w:after="0" w:line="6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With respect to Proposals 2 and 3, the ratification of the appointment of PricewaterhouseCoopers LLP to serve as the Company’s independent registered public accounting firm for fiscal 2021 and the stockholder proposal regarding development of a recapitalization plan, respectively, you may vote “for” or “against” these proposals, or you may “abstain” from voting on these proposals. Abstentions will be counted as votes present in person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represented by proxy at the Annual Meeting and entitled to vote on these proposals and will therefore have the same effect as votes “against” these proposals, and broker non-votes will not be considered entitled to vote on these proposals and will therefore have no effect on their outcome. As discussed above, because Proposal 2, the ratification of the appointment of PricewaterhouseCoopers LLP to serve as the Company’s independent registered public accounting firm for fiscal 2021, is considered a “routine” matter, the Company does not expect any broker non-votes with respect to this proposal.</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be given the opportunity to submit questions during the Annual Meeting?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Yes. Stockholders as of the close of business on the record date will be able to submit questions during the Annual Meeting by visiting </w:t>
      </w:r>
      <w:r>
        <w:rPr>
          <w:rFonts w:ascii="Times New Roman" w:cs="Times New Roman" w:eastAsia="Times New Roman" w:hAnsi="Times New Roman"/>
          <w:sz w:val="18"/>
          <w:szCs w:val="18"/>
          <w:i w:val="1"/>
          <w:iCs w:val="1"/>
          <w:color w:val="auto"/>
        </w:rPr>
        <w:t>www.virtualshareholdermeeting.com/COKE2021</w:t>
      </w:r>
      <w:r>
        <w:rPr>
          <w:rFonts w:ascii="Times New Roman" w:cs="Times New Roman" w:eastAsia="Times New Roman" w:hAnsi="Times New Roman"/>
          <w:sz w:val="18"/>
          <w:szCs w:val="18"/>
          <w:color w:val="auto"/>
        </w:rPr>
        <w:t>. The Company will try to answer as many stockholder-submitted questions as time permits,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the Company receives more questions than it can answer during the allotted period of time, the Company will answer them in the order received. However, the Company reserves the right to edit profanity or other inappropriate language and to exclude questions that are not pertinent to meeting matters, do not comply with the meeting rules of conduct, or are otherwise inappropriate. If the Company receives substantially similar questions, it will group such questions together and provide a single response to avoid repetition.</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for solicitation of proxies?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is paying the cost of soliciting proxies and will reimburse its transfer agent, brokerage firms, financial institutions and other custodians, nominees, fiduciaries and stockholders of record for their reasonable out-of-pocket expenses for sending proxy materials to stockholders and obtaining their proxies. In addition to soliciting the proxies by mail and the internet, certain of the Company’s directors, officers and employees, without compensation, may solicit proxies personally or by telephone, facsimile and e-mail. The Company has retained Broadridge Financial Solutions, Inc. to aid in the solicitation of proxies with respect to shares of Coke Consolidated stock held by brokerage firms, financial institutions and other custodians, nominees, fiduciaries and stockholders of record for a fee of approximately $1,000, plus expenses.</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expected voting results?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expects each of the proposals recommended by the Board (Proposals 1 and 2) to be approved by the stockholders. The Board has been informed that J. Frank Harrison, III intends to vote an aggregate of 2,231,940 shares of Coke Consolidated Class B Common Stock (representing 44,638,800 votes and an aggregate of 86.2% of the total voting power of Coke Consolidated Common Stock and Class B Common Stock together as of the record date):</w:t>
      </w:r>
    </w:p>
    <w:p>
      <w:pPr>
        <w:spacing w:after="0" w:line="8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13 directors nominated by the Board of Directors;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to serve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fiscal 2021; and</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regarding development of a recapitalization plan.</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will announce preliminary or final voting results at the Annual Meeting and publish final results in a Current Report on Form 8-K filed with the Securities and Exchange Commission (the “SEC”) within four business days of the completion of the meeting.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Security Ownership of Directors and Executive Officers</w:t>
      </w:r>
    </w:p>
    <w:p>
      <w:pPr>
        <w:spacing w:after="0" w:line="23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table below shows the number of shares of Coke Consolidated Common Stock and Class B Common Stock beneficially owned as of March 15, 2021 by each director, director nominee and named executive officer and by all directors and executive officers as a group. As of March 15, 2021, a total of 7,141,447 shares of Common Stock and 2,232,242 shares of Class B Common Stock were outstanding. Information about the beneficial ownership of the Common Stock and Class B Common Stock owned by Mr. Harrison is shown on page 7.</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and Nature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Beneficial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7"/>
        </w:trPr>
        <w:tc>
          <w:tcPr>
            <w:tcW w:w="6940" w:type="dxa"/>
            <w:vAlign w:val="bottom"/>
            <w:gridSpan w:val="2"/>
            <w:vMerge w:val="continue"/>
          </w:tcPr>
          <w:p>
            <w:pPr>
              <w:spacing w:after="0"/>
              <w:rPr>
                <w:sz w:val="15"/>
                <w:szCs w:val="15"/>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Class</w:t>
            </w: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Ownership</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Sharon A. Decker</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Common Stock</w:t>
            </w:r>
          </w:p>
        </w:tc>
        <w:tc>
          <w:tcPr>
            <w:tcW w:w="5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Morgan H. Everett</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3"/>
                <w:szCs w:val="13"/>
                <w:color w:val="auto"/>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R. Helvey, III</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H. Jones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23"/>
                <w:szCs w:val="23"/>
                <w:color w:val="auto"/>
                <w:vertAlign w:val="superscript"/>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Umesh M. Kasbekar</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M. Katz</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Jennifer K. Mann</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H. Morgan</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W. Murrey, III</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Sue Anne H. Wells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3"/>
                <w:szCs w:val="13"/>
                <w:color w:val="auto"/>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Dennis A. Wicker</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T. Williams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 Scott Anthony</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G. Chambless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 Beauregarde Fisher III</w:t>
            </w: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w:t>
            </w: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(excluding Mr. Harrison) (20 persons)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880" w:hanging="764"/>
        <w:spacing w:after="0"/>
        <w:tabs>
          <w:tab w:leader="none" w:pos="8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Less than 1% of the outstanding shares of such class.</w:t>
      </w:r>
    </w:p>
    <w:p>
      <w:pPr>
        <w:spacing w:after="0" w:line="77" w:lineRule="exact"/>
        <w:rPr>
          <w:sz w:val="20"/>
          <w:szCs w:val="20"/>
          <w:color w:val="auto"/>
        </w:rPr>
      </w:pPr>
    </w:p>
    <w:p>
      <w:pPr>
        <w:ind w:left="880" w:right="140" w:hanging="764"/>
        <w:spacing w:after="0" w:line="266" w:lineRule="auto"/>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535,178 shares of Class B Common Stock held by the JFH Family Limited Partnership—FH1 and 78,596 shares of Class B Common Stock held by a trust of which Ms. Everett is one of the beneficiaries. Ms. Everett has a pecuniary interest in these shares, but does not have voting or investment power with respect to these shares.</w:t>
      </w:r>
    </w:p>
    <w:p>
      <w:pPr>
        <w:spacing w:after="0" w:line="27" w:lineRule="exact"/>
        <w:rPr>
          <w:rFonts w:ascii="Times New Roman" w:cs="Times New Roman" w:eastAsia="Times New Roman" w:hAnsi="Times New Roman"/>
          <w:sz w:val="15"/>
          <w:szCs w:val="15"/>
          <w:color w:val="auto"/>
        </w:rPr>
      </w:pPr>
    </w:p>
    <w:p>
      <w:pPr>
        <w:ind w:left="880" w:hanging="764"/>
        <w:spacing w:after="0"/>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Held jointly with his spouse.</w:t>
      </w:r>
    </w:p>
    <w:p>
      <w:pPr>
        <w:spacing w:after="0" w:line="76" w:lineRule="exact"/>
        <w:rPr>
          <w:rFonts w:ascii="Times New Roman" w:cs="Times New Roman" w:eastAsia="Times New Roman" w:hAnsi="Times New Roman"/>
          <w:sz w:val="15"/>
          <w:szCs w:val="15"/>
          <w:color w:val="auto"/>
        </w:rPr>
      </w:pPr>
    </w:p>
    <w:p>
      <w:pPr>
        <w:ind w:left="880" w:right="440" w:hanging="764"/>
        <w:spacing w:after="0" w:line="266" w:lineRule="auto"/>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535,178 shares of Class B Common Stock held by the JFH Family Limited Partnership—SW1 and 78,595 shares of Class B Common Stock held by a trust for the benefit of Dr. Wells. Dr. Wells has a pecuniary interest in these shares, but does not have voting or investment power with respect to these shares.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Principal Stockholders</w:t>
      </w:r>
    </w:p>
    <w:p>
      <w:pPr>
        <w:spacing w:after="0" w:line="242"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the beneficial ownership of Coke Consolidated Common Stock and Class B Common Stock as of March 15, 2021 by each person known by the Company to beneficially own more than 5% of the outstanding shares of Coke Consolidated Common Stock or Class B Common Stock as of such date: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and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Nature of</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0"/>
        </w:trPr>
        <w:tc>
          <w:tcPr>
            <w:tcW w:w="50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rPr>
              <w:t>Beneficial</w:t>
            </w:r>
          </w:p>
        </w:tc>
        <w:tc>
          <w:tcPr>
            <w:tcW w:w="1140" w:type="dxa"/>
            <w:vAlign w:val="bottom"/>
            <w:gridSpan w:val="2"/>
          </w:tcPr>
          <w:p>
            <w:pPr>
              <w:jc w:val="center"/>
              <w:ind w:right="280"/>
              <w:spacing w:after="0" w:line="150" w:lineRule="exact"/>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Arial" w:cs="Arial" w:eastAsia="Arial" w:hAnsi="Arial"/>
                <w:sz w:val="14"/>
                <w:szCs w:val="14"/>
                <w:b w:val="1"/>
                <w:bCs w:val="1"/>
                <w:color w:val="auto"/>
              </w:rPr>
              <w:t>of Beneficial Owner</w:t>
            </w:r>
          </w:p>
        </w:tc>
        <w:tc>
          <w:tcPr>
            <w:tcW w:w="28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Class</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Ownership</w:t>
            </w: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1"/>
                <w:szCs w:val="21"/>
                <w:b w:val="1"/>
                <w:bCs w:val="1"/>
                <w:color w:val="auto"/>
                <w:vertAlign w:val="superscript"/>
              </w:rPr>
              <w:t>(1)</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Votes</w:t>
            </w:r>
          </w:p>
        </w:tc>
        <w:tc>
          <w:tcPr>
            <w:tcW w:w="8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8"/>
              </w:rPr>
              <w:t>Votes</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19"/>
        </w:trPr>
        <w:tc>
          <w:tcPr>
            <w:tcW w:w="50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J. Frank Harrison, III,</w:t>
            </w:r>
          </w:p>
        </w:tc>
        <w:tc>
          <w:tcPr>
            <w:tcW w:w="2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Common Stock</w:t>
            </w:r>
          </w:p>
        </w:tc>
        <w:tc>
          <w:tcPr>
            <w:tcW w:w="2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40"/>
              <w:spacing w:after="0" w:line="119" w:lineRule="exact"/>
              <w:rPr>
                <w:sz w:val="20"/>
                <w:szCs w:val="20"/>
                <w:color w:val="auto"/>
              </w:rPr>
            </w:pPr>
            <w:r>
              <w:rPr>
                <w:rFonts w:ascii="Times New Roman" w:cs="Times New Roman" w:eastAsia="Times New Roman" w:hAnsi="Times New Roman"/>
                <w:sz w:val="13"/>
                <w:szCs w:val="13"/>
                <w:color w:val="auto"/>
              </w:rPr>
              <w:t>2,231,940</w:t>
            </w:r>
            <w:r>
              <w:rPr>
                <w:rFonts w:ascii="Times New Roman" w:cs="Times New Roman" w:eastAsia="Times New Roman" w:hAnsi="Times New Roman"/>
                <w:sz w:val="11"/>
                <w:szCs w:val="11"/>
                <w:color w:val="auto"/>
              </w:rPr>
              <w:t>(2)</w:t>
            </w:r>
          </w:p>
        </w:tc>
        <w:tc>
          <w:tcPr>
            <w:tcW w:w="3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ind w:right="130"/>
              <w:spacing w:after="0" w:line="119" w:lineRule="exact"/>
              <w:rPr>
                <w:sz w:val="20"/>
                <w:szCs w:val="20"/>
                <w:color w:val="auto"/>
              </w:rPr>
            </w:pPr>
            <w:r>
              <w:rPr>
                <w:rFonts w:ascii="Times New Roman" w:cs="Times New Roman" w:eastAsia="Times New Roman" w:hAnsi="Times New Roman"/>
                <w:sz w:val="13"/>
                <w:szCs w:val="13"/>
                <w:color w:val="auto"/>
              </w:rPr>
              <w:t>23.8%</w:t>
            </w:r>
          </w:p>
        </w:tc>
        <w:tc>
          <w:tcPr>
            <w:tcW w:w="2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44,638,800</w:t>
            </w:r>
          </w:p>
        </w:tc>
        <w:tc>
          <w:tcPr>
            <w:tcW w:w="3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86.2%</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Frank Harrison Family, LLC,</w:t>
            </w:r>
          </w:p>
        </w:tc>
        <w:tc>
          <w:tcPr>
            <w:tcW w:w="1580" w:type="dxa"/>
            <w:vAlign w:val="bottom"/>
            <w:gridSpan w:val="3"/>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B Common</w:t>
            </w:r>
          </w:p>
        </w:tc>
        <w:tc>
          <w:tcPr>
            <w:tcW w:w="1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2,231,940</w:t>
            </w:r>
            <w:r>
              <w:rPr>
                <w:rFonts w:ascii="Times New Roman" w:cs="Times New Roman" w:eastAsia="Times New Roman" w:hAnsi="Times New Roman"/>
                <w:sz w:val="12"/>
                <w:szCs w:val="12"/>
                <w:color w:val="auto"/>
              </w:rPr>
              <w:t>(3)(4)</w:t>
            </w:r>
          </w:p>
        </w:tc>
        <w:tc>
          <w:tcPr>
            <w:tcW w:w="860" w:type="dxa"/>
            <w:vAlign w:val="bottom"/>
            <w:shd w:val="clear" w:color="auto" w:fill="CCEEFF"/>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99.99%</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Harrison Family Limited Partnerships and</w:t>
            </w:r>
          </w:p>
        </w:tc>
        <w:tc>
          <w:tcPr>
            <w:tcW w:w="1580" w:type="dxa"/>
            <w:vAlign w:val="bottom"/>
            <w:gridSpan w:val="3"/>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Frank Harrison, III Revocable Trust, as a group</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4100 Coca-Cola Plaza</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North Carolina 28211</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The Coca-Cola Company</w:t>
            </w:r>
          </w:p>
        </w:tc>
        <w:tc>
          <w:tcPr>
            <w:tcW w:w="1580" w:type="dxa"/>
            <w:vAlign w:val="bottom"/>
            <w:gridSpan w:val="3"/>
          </w:tcPr>
          <w:p>
            <w:pPr>
              <w:ind w:left="280"/>
              <w:spacing w:after="0" w:line="153" w:lineRule="exact"/>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rPr>
              <w:t>2,482,165</w:t>
            </w:r>
            <w:r>
              <w:rPr>
                <w:rFonts w:ascii="Times New Roman" w:cs="Times New Roman" w:eastAsia="Times New Roman" w:hAnsi="Times New Roman"/>
                <w:sz w:val="12"/>
                <w:szCs w:val="12"/>
                <w:color w:val="auto"/>
              </w:rPr>
              <w:t>(5)</w:t>
            </w:r>
          </w:p>
        </w:tc>
        <w:tc>
          <w:tcPr>
            <w:tcW w:w="320" w:type="dxa"/>
            <w:vAlign w:val="bottom"/>
          </w:tcPr>
          <w:p>
            <w:pPr>
              <w:spacing w:after="0"/>
              <w:rPr>
                <w:sz w:val="13"/>
                <w:szCs w:val="13"/>
                <w:color w:val="auto"/>
              </w:rPr>
            </w:pPr>
          </w:p>
        </w:tc>
        <w:tc>
          <w:tcPr>
            <w:tcW w:w="860" w:type="dxa"/>
            <w:vAlign w:val="bottom"/>
          </w:tcPr>
          <w:p>
            <w:pPr>
              <w:jc w:val="right"/>
              <w:ind w:right="130"/>
              <w:spacing w:after="0" w:line="153" w:lineRule="exact"/>
              <w:rPr>
                <w:sz w:val="20"/>
                <w:szCs w:val="20"/>
                <w:color w:val="auto"/>
              </w:rPr>
            </w:pPr>
            <w:r>
              <w:rPr>
                <w:rFonts w:ascii="Times New Roman" w:cs="Times New Roman" w:eastAsia="Times New Roman" w:hAnsi="Times New Roman"/>
                <w:sz w:val="14"/>
                <w:szCs w:val="14"/>
                <w:color w:val="auto"/>
              </w:rPr>
              <w:t>34.8%</w:t>
            </w:r>
          </w:p>
        </w:tc>
        <w:tc>
          <w:tcPr>
            <w:tcW w:w="280" w:type="dxa"/>
            <w:vAlign w:val="bottom"/>
          </w:tcPr>
          <w:p>
            <w:pPr>
              <w:spacing w:after="0"/>
              <w:rPr>
                <w:sz w:val="13"/>
                <w:szCs w:val="13"/>
                <w:color w:val="auto"/>
              </w:rPr>
            </w:pPr>
          </w:p>
        </w:tc>
        <w:tc>
          <w:tcPr>
            <w:tcW w:w="120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2,482,165</w:t>
            </w:r>
          </w:p>
        </w:tc>
        <w:tc>
          <w:tcPr>
            <w:tcW w:w="8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5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Coca-Cola Plaza</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Atlanta, Georgia 30313</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BlackRock, Inc.</w:t>
            </w:r>
          </w:p>
        </w:tc>
        <w:tc>
          <w:tcPr>
            <w:tcW w:w="1580" w:type="dxa"/>
            <w:vAlign w:val="bottom"/>
            <w:gridSpan w:val="3"/>
            <w:shd w:val="clear" w:color="auto" w:fill="CCEEFF"/>
          </w:tcPr>
          <w:p>
            <w:pPr>
              <w:ind w:left="280"/>
              <w:spacing w:after="0" w:line="131" w:lineRule="exact"/>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shd w:val="clear" w:color="auto" w:fill="CCEEFF"/>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rPr>
              <w:t>715,339</w:t>
            </w:r>
            <w:r>
              <w:rPr>
                <w:rFonts w:ascii="Times New Roman" w:cs="Times New Roman" w:eastAsia="Times New Roman" w:hAnsi="Times New Roman"/>
                <w:sz w:val="12"/>
                <w:szCs w:val="12"/>
                <w:color w:val="auto"/>
              </w:rPr>
              <w:t>(6)</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0"/>
              <w:spacing w:after="0" w:line="131"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4"/>
                <w:szCs w:val="14"/>
                <w:color w:val="auto"/>
              </w:rPr>
              <w:t>715,339</w:t>
            </w:r>
          </w:p>
        </w:tc>
        <w:tc>
          <w:tcPr>
            <w:tcW w:w="8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East 52nd Street</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New York 10055</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The Vanguard Group, Inc.</w:t>
            </w:r>
          </w:p>
        </w:tc>
        <w:tc>
          <w:tcPr>
            <w:tcW w:w="1580" w:type="dxa"/>
            <w:vAlign w:val="bottom"/>
            <w:gridSpan w:val="3"/>
          </w:tcPr>
          <w:p>
            <w:pPr>
              <w:ind w:left="280"/>
              <w:spacing w:after="0" w:line="153" w:lineRule="exact"/>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rPr>
              <w:t>632,962</w:t>
            </w:r>
            <w:r>
              <w:rPr>
                <w:rFonts w:ascii="Times New Roman" w:cs="Times New Roman" w:eastAsia="Times New Roman" w:hAnsi="Times New Roman"/>
                <w:sz w:val="12"/>
                <w:szCs w:val="12"/>
                <w:color w:val="auto"/>
              </w:rPr>
              <w:t>(7)</w:t>
            </w:r>
          </w:p>
        </w:tc>
        <w:tc>
          <w:tcPr>
            <w:tcW w:w="320" w:type="dxa"/>
            <w:vAlign w:val="bottom"/>
          </w:tcPr>
          <w:p>
            <w:pPr>
              <w:spacing w:after="0"/>
              <w:rPr>
                <w:sz w:val="13"/>
                <w:szCs w:val="13"/>
                <w:color w:val="auto"/>
              </w:rPr>
            </w:pPr>
          </w:p>
        </w:tc>
        <w:tc>
          <w:tcPr>
            <w:tcW w:w="860" w:type="dxa"/>
            <w:vAlign w:val="bottom"/>
          </w:tcPr>
          <w:p>
            <w:pPr>
              <w:jc w:val="right"/>
              <w:ind w:right="130"/>
              <w:spacing w:after="0" w:line="153" w:lineRule="exact"/>
              <w:rPr>
                <w:sz w:val="20"/>
                <w:szCs w:val="20"/>
                <w:color w:val="auto"/>
              </w:rPr>
            </w:pPr>
            <w:r>
              <w:rPr>
                <w:rFonts w:ascii="Times New Roman" w:cs="Times New Roman" w:eastAsia="Times New Roman" w:hAnsi="Times New Roman"/>
                <w:sz w:val="14"/>
                <w:szCs w:val="14"/>
                <w:color w:val="auto"/>
              </w:rPr>
              <w:t>8.9%</w:t>
            </w:r>
          </w:p>
        </w:tc>
        <w:tc>
          <w:tcPr>
            <w:tcW w:w="280" w:type="dxa"/>
            <w:vAlign w:val="bottom"/>
          </w:tcPr>
          <w:p>
            <w:pPr>
              <w:spacing w:after="0"/>
              <w:rPr>
                <w:sz w:val="13"/>
                <w:szCs w:val="13"/>
                <w:color w:val="auto"/>
              </w:rPr>
            </w:pPr>
          </w:p>
        </w:tc>
        <w:tc>
          <w:tcPr>
            <w:tcW w:w="120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632,962</w:t>
            </w:r>
          </w:p>
        </w:tc>
        <w:tc>
          <w:tcPr>
            <w:tcW w:w="8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5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Vanguard Boulevard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Malvern, Pennsylvania 19355</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T. Rowe Price Associates, Inc.</w:t>
            </w:r>
          </w:p>
        </w:tc>
        <w:tc>
          <w:tcPr>
            <w:tcW w:w="1580" w:type="dxa"/>
            <w:vAlign w:val="bottom"/>
            <w:gridSpan w:val="3"/>
            <w:shd w:val="clear" w:color="auto" w:fill="CCEEFF"/>
          </w:tcPr>
          <w:p>
            <w:pPr>
              <w:ind w:left="280"/>
              <w:spacing w:after="0" w:line="131" w:lineRule="exact"/>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shd w:val="clear" w:color="auto" w:fill="CCEEFF"/>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rPr>
              <w:t>358,067</w:t>
            </w:r>
            <w:r>
              <w:rPr>
                <w:rFonts w:ascii="Times New Roman" w:cs="Times New Roman" w:eastAsia="Times New Roman" w:hAnsi="Times New Roman"/>
                <w:sz w:val="12"/>
                <w:szCs w:val="12"/>
                <w:color w:val="auto"/>
              </w:rPr>
              <w:t>(8)</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0"/>
              <w:spacing w:after="0" w:line="131"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4"/>
                <w:szCs w:val="14"/>
                <w:color w:val="auto"/>
              </w:rPr>
              <w:t>358,067</w:t>
            </w:r>
          </w:p>
        </w:tc>
        <w:tc>
          <w:tcPr>
            <w:tcW w:w="8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E. Pratt Street</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Baltimore, Maryland 21202</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right="100" w:hanging="764"/>
        <w:spacing w:after="0" w:line="258" w:lineRule="auto"/>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total of 7,141,447 shares of Common Stock and 2,232,242 shares of Class B Common Stock were outstanding on March 15, 2021. The percentage of Common Stock owned by J. Frank Harrison, III shown in this column assumes conversion of all 2,231,940 shares of Class B Common Stock beneficially owned as described below in Footnote 3 that are convertible into shares of Common Stock. The percentages of Common Stock owned by The Coca-Cola Company and the other persons identified in the table that owned more than 5% of the outstanding shares of Common Stock as of March 15, 2021 do not assume such conversion has occurred.</w:t>
      </w:r>
    </w:p>
    <w:p>
      <w:pPr>
        <w:spacing w:after="0" w:line="34" w:lineRule="exact"/>
        <w:rPr>
          <w:rFonts w:ascii="Times New Roman" w:cs="Times New Roman" w:eastAsia="Times New Roman" w:hAnsi="Times New Roman"/>
          <w:sz w:val="15"/>
          <w:szCs w:val="15"/>
          <w:color w:val="auto"/>
        </w:rPr>
      </w:pPr>
    </w:p>
    <w:p>
      <w:pPr>
        <w:ind w:left="880" w:right="140" w:hanging="764"/>
        <w:spacing w:after="0" w:line="282" w:lineRule="auto"/>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2,231,940 shares of Class B Common Stock beneficially owned as described below in Footnote 3 that are convertible into shares of Common Stock.</w:t>
      </w:r>
    </w:p>
    <w:p>
      <w:pPr>
        <w:spacing w:after="0" w:line="13" w:lineRule="exact"/>
        <w:rPr>
          <w:rFonts w:ascii="Times New Roman" w:cs="Times New Roman" w:eastAsia="Times New Roman" w:hAnsi="Times New Roman"/>
          <w:sz w:val="15"/>
          <w:szCs w:val="15"/>
          <w:color w:val="auto"/>
        </w:rPr>
      </w:pPr>
    </w:p>
    <w:p>
      <w:pPr>
        <w:ind w:left="880" w:right="40" w:hanging="764"/>
        <w:spacing w:after="0" w:line="254" w:lineRule="auto"/>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(i) a total of 1,605,534 shares of Class B Common Stock held by the JFH Family Limited Partnership—FH1, the JFH Family Limited Partnership—SW1 and the JFH Family Limited Partnership—DH1 (collectively, the “Harrison Family Limited Partnerships”), as to which Mr. Harrison in his capacity as the Consolidated Stock Manager of the J. Frank Harrison Family, LLC (the general partner of each of the Harrison Family Limited Partnerships) has sole voting and investment power; (ii) 235,786 shares of Class B Common Stock held by certain trusts established for the benefit of certain relatives of the late J. Frank Harrison, Jr., as to which Mr. Harrison has sole voting and investment power; and (iii) 390,620 shares of Class B Common Stock held by The Revocable Trust Agreement of J. Frank Harrison, III dated March 21, 1991 (the “J. Frank Harrison, III Revocable Trust”), as to which Mr. Harrison in his capacity as the trustee thereof has sole voting and investment power.</w:t>
      </w:r>
    </w:p>
    <w:p>
      <w:pPr>
        <w:spacing w:after="0" w:line="43" w:lineRule="exact"/>
        <w:rPr>
          <w:rFonts w:ascii="Times New Roman" w:cs="Times New Roman" w:eastAsia="Times New Roman" w:hAnsi="Times New Roman"/>
          <w:sz w:val="15"/>
          <w:szCs w:val="15"/>
          <w:color w:val="auto"/>
        </w:rPr>
      </w:pPr>
    </w:p>
    <w:p>
      <w:pPr>
        <w:ind w:left="880" w:right="160" w:hanging="764"/>
        <w:spacing w:after="0" w:line="289" w:lineRule="auto"/>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trusts described above in clause (ii) of Footnote 3 have the right to acquire 292,386 shares of Class B Common Stock from Coke Consolidated in exchange for an equal number of shares of Common Stock. In the event of such an exchange, Mr. Harrison would have sole voting and investment power over the shares of Class B Common Stock acquired. The trusts do not own any shares of Common Stock with</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80" w:right="20"/>
        <w:spacing w:after="0" w:line="282" w:lineRule="auto"/>
        <w:rPr>
          <w:sz w:val="20"/>
          <w:szCs w:val="20"/>
          <w:color w:val="auto"/>
        </w:rPr>
      </w:pPr>
      <w:r>
        <w:rPr>
          <w:rFonts w:ascii="Times New Roman" w:cs="Times New Roman" w:eastAsia="Times New Roman" w:hAnsi="Times New Roman"/>
          <w:sz w:val="18"/>
          <w:szCs w:val="18"/>
          <w:color w:val="auto"/>
        </w:rPr>
        <w:t>which to make the exchange, and any purchase of Common Stock would require approval by the trustees of the trusts. Accordingly, the table does not include shares related to this exchange right.</w:t>
      </w:r>
    </w:p>
    <w:p>
      <w:pPr>
        <w:spacing w:after="0" w:line="13" w:lineRule="exact"/>
        <w:rPr>
          <w:sz w:val="20"/>
          <w:szCs w:val="20"/>
          <w:color w:val="auto"/>
        </w:rPr>
      </w:pPr>
    </w:p>
    <w:p>
      <w:pPr>
        <w:ind w:left="880" w:right="20" w:hanging="764"/>
        <w:spacing w:after="0" w:line="266" w:lineRule="auto"/>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information is based upon a Schedule 13D/A filed jointly with the SEC by The Coca-Cola Company, The Coca-Cola Trading Company LLC, Coca-Cola Oasis LLC and Carolina Coca-Cola Bottling Investments, Inc. on December 10, 2020. The Schedule 13D/A reports that such entities have shared voting and investment power over all of such shares.</w:t>
      </w:r>
    </w:p>
    <w:p>
      <w:pPr>
        <w:spacing w:after="0" w:line="27" w:lineRule="exact"/>
        <w:rPr>
          <w:rFonts w:ascii="Times New Roman" w:cs="Times New Roman" w:eastAsia="Times New Roman" w:hAnsi="Times New Roman"/>
          <w:sz w:val="15"/>
          <w:szCs w:val="15"/>
          <w:color w:val="auto"/>
        </w:rPr>
      </w:pPr>
    </w:p>
    <w:p>
      <w:pPr>
        <w:ind w:left="880" w:right="120" w:hanging="764"/>
        <w:spacing w:after="0" w:line="266" w:lineRule="auto"/>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information is based upon a Schedule 13G/A filed with the SEC by BlackRock, Inc. (“BlackRock”) on January 8, 2021. The Schedule 13G/A reports that BlackRock has sole voting power over 708,997 shares, shared voting power over no shares and sole investment power over all of such shares.</w:t>
      </w:r>
    </w:p>
    <w:p>
      <w:pPr>
        <w:spacing w:after="0" w:line="27" w:lineRule="exact"/>
        <w:rPr>
          <w:rFonts w:ascii="Times New Roman" w:cs="Times New Roman" w:eastAsia="Times New Roman" w:hAnsi="Times New Roman"/>
          <w:sz w:val="15"/>
          <w:szCs w:val="15"/>
          <w:color w:val="auto"/>
        </w:rPr>
      </w:pPr>
    </w:p>
    <w:p>
      <w:pPr>
        <w:jc w:val="both"/>
        <w:ind w:left="880" w:hanging="764"/>
        <w:spacing w:after="0" w:line="266" w:lineRule="auto"/>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information is based upon a Schedule 13G/A filed with the SEC by The Vanguard Group, Inc. (“Vanguard”) on February 10, 2021. The Schedule 13G/A reports that Vanguard has sole voting power over no shares, shared voting power over 11,288 shares, sole investment power over 617,941 shares and shared investment power over 15,021 shares.</w:t>
      </w:r>
    </w:p>
    <w:p>
      <w:pPr>
        <w:spacing w:after="0" w:line="27" w:lineRule="exact"/>
        <w:rPr>
          <w:rFonts w:ascii="Times New Roman" w:cs="Times New Roman" w:eastAsia="Times New Roman" w:hAnsi="Times New Roman"/>
          <w:sz w:val="15"/>
          <w:szCs w:val="15"/>
          <w:color w:val="auto"/>
        </w:rPr>
      </w:pPr>
    </w:p>
    <w:p>
      <w:pPr>
        <w:jc w:val="both"/>
        <w:ind w:left="880" w:right="200" w:hanging="764"/>
        <w:spacing w:after="0" w:line="266" w:lineRule="auto"/>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information is based upon a Schedule 13G filed with the SEC by T. Rowe Price Associates, Inc. (“Price Associates”) on February 16, 2021. The Schedule 13G reports that Price Associates has sole voting power over 111,846 shares, shared voting power over no shares and sole investment power over all of such shares.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Proposal 1:</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Election of Directors</w:t>
      </w:r>
    </w:p>
    <w:p>
      <w:pPr>
        <w:spacing w:after="0" w:line="20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Board of Directors currently consists of 13 members and has no vacancies. On the recommendation of the Executive Committee, the Board has nominated the 13 persons listed below for election as directors at the Annual Meeting. If elected, each nominee will serve until his or her term expires at the 2022 Annual Meeting of Stockholders or until his or her successor is duly elected and qualified. All of the nominees are currently serving as directors and were elected to the Board at the 2020 Annual Meeting of Stockholders. Each nominee has agreed to be named in this Proxy Statement and to serve if elected.</w:t>
      </w:r>
    </w:p>
    <w:p>
      <w:pPr>
        <w:spacing w:after="0" w:line="7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Although the Company knows of no reason why any of the nominees would not be able to serve, if any nominee is unavailable for election, the proxy holders intend to vote your shares for any substitute nominee proposed by the Board.</w:t>
      </w:r>
    </w:p>
    <w:p>
      <w:pPr>
        <w:spacing w:after="0" w:line="5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that you vote “FOR” the election of each of the 13 nominees listed below. </w:t>
      </w:r>
      <w:r>
        <w:rPr>
          <w:rFonts w:ascii="Times New Roman" w:cs="Times New Roman" w:eastAsia="Times New Roman" w:hAnsi="Times New Roman"/>
          <w:sz w:val="18"/>
          <w:szCs w:val="18"/>
          <w:color w:val="auto"/>
        </w:rPr>
        <w:t>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proxies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13 nominees listed below.</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Nominees</w:t>
      </w:r>
    </w:p>
    <w:p>
      <w:pPr>
        <w:spacing w:after="0" w:line="11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Listed below are the 13 persons nominated for election to the Board of Directors. The following paragraphs include information about each director nominee’s business background, as furnished to the Company by the nominee, and additional experience, qualifications, attributes or skills that led the Board of Directors to conclude that the nominee should serve on the Board.</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7940" w:type="dxa"/>
            <w:vAlign w:val="bottom"/>
            <w:gridSpan w:val="2"/>
          </w:tcPr>
          <w:p>
            <w:pPr>
              <w:ind w:left="3200"/>
              <w:spacing w:after="0"/>
              <w:rPr>
                <w:sz w:val="20"/>
                <w:szCs w:val="20"/>
                <w:color w:val="auto"/>
              </w:rPr>
            </w:pPr>
            <w:r>
              <w:rPr>
                <w:rFonts w:ascii="Arial" w:cs="Arial" w:eastAsia="Arial" w:hAnsi="Arial"/>
                <w:sz w:val="14"/>
                <w:szCs w:val="14"/>
                <w:b w:val="1"/>
                <w:bCs w:val="1"/>
                <w:color w:val="auto"/>
              </w:rPr>
              <w:t>Principal Occupation</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Director Since</w:t>
            </w:r>
          </w:p>
        </w:tc>
      </w:tr>
      <w:tr>
        <w:trPr>
          <w:trHeight w:val="223"/>
        </w:trPr>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J. Frank Harrison, III</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top w:val="single" w:sz="8" w:color="CCEEFF"/>
            </w:tcBorders>
            <w:shd w:val="clear" w:color="auto" w:fill="CCEEFF"/>
          </w:tcPr>
          <w:p>
            <w:pPr>
              <w:spacing w:after="0"/>
              <w:rPr>
                <w:sz w:val="19"/>
                <w:szCs w:val="19"/>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 of Coke Consolidated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1986</w:t>
            </w:r>
          </w:p>
        </w:tc>
      </w:tr>
      <w:tr>
        <w:trPr>
          <w:trHeight w:val="25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A. Decker</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Tryon Equestrian Partners, Carolina Operations</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2001</w:t>
            </w:r>
          </w:p>
        </w:tc>
      </w:tr>
      <w:tr>
        <w:trPr>
          <w:trHeight w:val="40"/>
        </w:trPr>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H. Everett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Chair of the Board of Coke Consolidated</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2011</w:t>
            </w:r>
          </w:p>
        </w:tc>
      </w:tr>
      <w:tr>
        <w:trPr>
          <w:trHeight w:val="25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Helvey, III</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Managing Partner, Cassia Capital Partners, LLC</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2016</w:t>
            </w:r>
          </w:p>
        </w:tc>
      </w:tr>
      <w:tr>
        <w:trPr>
          <w:trHeight w:val="40"/>
        </w:trPr>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Jones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Chancellor, Columbia International University</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2011</w:t>
            </w: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Umesh M. Kasbekar</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Non-Executive Vice Chairman of the Board of Coke Consolidated</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2016</w:t>
            </w:r>
          </w:p>
        </w:tc>
      </w:tr>
      <w:tr>
        <w:trPr>
          <w:trHeight w:val="22"/>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 Katz</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Operating Officer of Coke Consolidated</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2018</w:t>
            </w: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 Mann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Senior Vice President and President of Global Ventures, The Coca-Cola Company</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2017</w:t>
            </w:r>
          </w:p>
        </w:tc>
      </w:tr>
      <w:tr>
        <w:trPr>
          <w:trHeight w:val="22"/>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Morgan</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Covenant Capital LLC</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2008</w:t>
            </w:r>
          </w:p>
        </w:tc>
      </w:tr>
      <w:tr>
        <w:trPr>
          <w:trHeight w:val="26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Murrey, III</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Assistant Professor, Appalachian School of Law (Retired)</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1993</w:t>
            </w:r>
          </w:p>
        </w:tc>
      </w:tr>
      <w:tr>
        <w:trPr>
          <w:trHeight w:val="23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Sue Anne H. Wells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Educator and Co-Founder, Chattanooga Girls Leadership Academy</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2016</w:t>
            </w:r>
          </w:p>
        </w:tc>
      </w:tr>
      <w:tr>
        <w:trPr>
          <w:trHeight w:val="26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A. Wicker</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 Nelson Mullins Riley &amp; Scarborough LLP</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2001</w:t>
            </w:r>
          </w:p>
        </w:tc>
      </w:tr>
      <w:tr>
        <w:trPr>
          <w:trHeight w:val="23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T. Williams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of Corporate Community Affairs, Duke Energy Corporation (Retired)</w:t>
            </w: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2017</w:t>
            </w:r>
          </w:p>
        </w:tc>
      </w:tr>
      <w:tr>
        <w:trPr>
          <w:trHeight w:val="365"/>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2"/>
          </w:tcPr>
          <w:p>
            <w:pPr>
              <w:jc w:val="right"/>
              <w:ind w:right="4219"/>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 Frank Harrison, III</w:t>
      </w:r>
    </w:p>
    <w:p>
      <w:pPr>
        <w:spacing w:after="0" w:line="10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Mr. Harrison is Chairman of the Board and Chief Executive Officer of Coke Consolidated. Mr. Harrison served as Vice Chairman of the Board from November 1987 through his election as Chairman in December 1996 and was elected as Chief Executive Officer in May 1994. He was first employed by the Company in 1977 and also served as a Division Sales Manager and as a Vice President.</w:t>
      </w:r>
    </w:p>
    <w:p>
      <w:pPr>
        <w:spacing w:after="0" w:line="68"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Mr. Harrison brings extensive business, managerial and leadership experience to the Board. With over 40 years of experience with Coke Consolidated, Mr. Harrison provides the Board with a vital understanding and appreciation of the Company’s business. His strong leadership skills have been demonstrated through his service as Chief Executive Officer since 1994 and as Chairman of the Board since 1996. He is also the controlling stockholder of Coke Consolidated and, as a member of the founding family of Coke Consolidated, maintains a unique position within the Coca-Cola system.</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Sharon A. Decker</w:t>
      </w:r>
    </w:p>
    <w:p>
      <w:pPr>
        <w:spacing w:after="0" w:line="108"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Ms. Decker is President of Tryon Equestrian Partners, Carolina Operations, an investment group responsible for the development and operation of a premier sports complex and resort in western North Carolina. Prior to holding this position, she served as Chief Operating Officer of Tryon Equestrian Partners, Carolina Operations from August 2015 to April 2020. Ms. Decker was President of NURAY Media, a multi-media conservation, preservation and restoration company, from January 2015 until August 2015. Ms. Decker served as Secretary of Commerce for the State of North Carolina from January 2013 until December 2014. Prior to that, she was Chief Executive Officer of The Tapestry Group, a faith-based non-profit organization, since September 2004, and Chief Executive Officer of North Washington Street Properties, a community redevelopment company, since October 2004.</w:t>
      </w:r>
    </w:p>
    <w:p>
      <w:pPr>
        <w:spacing w:after="0" w:line="5"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Ms. Decker served as President of The Tanner Companies, a direct seller of women’s apparel, from August 2002 to September 2004. From August 1999 to July 2002, she was President of Doncaster, a division of The Tanner Companies. Ms. Decker was President and Chief Executive Officer of the Lynnwood Foundation, which created and managed a conference facility and leadership institute, from 1997 until 1999. From 1980 until 1997, she served Duke Energy Corporation, an electric power holding company, in a number of capacities, including as Corporate Vice President and Executive Director of the Duke Energy Foundation, a non-profit philanthropic organization. Ms. Decker is a director of Culp, Inc., a manufacturer of mattress and upholstery fabrics, and serves on the Board of Trustees of the University of North Carolina at Charlotte. She previously served as a director of SCANA Corporation, a diversified utility company, from 2006 to 2013 and from 2015 to 2018 and as a director of Family Dollar Stores, Inc., an operator of general merchandise retail discount stores, from 1999 to 2015.</w:t>
      </w:r>
    </w:p>
    <w:p>
      <w:pPr>
        <w:spacing w:after="0" w:line="86"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Ms. Decker brings to the Board a unique and valuable perspective from the numerous executive and leadership positions she has held across a broad range of fields, including non-profit organizations and large public companies. Ms. Decker’s diverse executive experience and extensive experience serving on multiple boards qualify her to serve as a member of the Board.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Morgan H. Everett</w:t>
      </w:r>
    </w:p>
    <w:p>
      <w:pPr>
        <w:spacing w:after="0" w:line="10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Ms. Everett is Vice Chair of the Board of Coke Consolidated, a position she has held since May 2020. Prior to that, she was Senior Vice President of Coke Consolidated from April 2019 to May 2020, Vice President of Coke Consolidated from January 2016 to March 2019, and Community Relations Director of Coke Consolidated from January 2009 to December 2015. Since December 2018, Ms. Everett has served as Chairman of Red Classic Services, LLC and Data Ventures, Inc., two of Coke Consolidated’s operating subsidiaries. She has been an employee of Coke Consolidated since October 2004. Ms. Everett graduated from Southern Methodist University with a B.A. in Communications in 2003, and she is a member of the founding family of Coke Consolidated.</w:t>
      </w:r>
    </w:p>
    <w:p>
      <w:pPr>
        <w:spacing w:after="0" w:line="7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Ms. Everett’s past service to Coke Consolidated, including experience in the operations of the Company, and her education qualify her to serve as a member of the Board. Ms. Everett’s service on the Board also adds to the diversity of the Board in both demographics and perspective.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James R. Helvey, III</w:t>
      </w:r>
    </w:p>
    <w:p>
      <w:pPr>
        <w:spacing w:after="0" w:line="10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Mr. Helvey co-founded Cassia Capital Partners, LLC, a registered investment advisor, in 2011 and has served as a managing partner since its formation. From 2005 to 2011, Mr. Helvey was a partner and the Risk Management Officer for CMT Asset Management Limited, a private investment firm. From 2003 to 2004, Mr. Helvey was a candidate for the United States Congress in the 5th District of North Carolina. Mr. Helvey served as Chairman and Chief Executive Officer of Cygnifi Derivatives Services, LLC, an online derivatives services provider, from 2000 to 2002. From 1985 to 2000,</w:t>
      </w:r>
    </w:p>
    <w:p>
      <w:pPr>
        <w:spacing w:after="0" w:line="3"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Mr. Helvey was employed by J.P. Morgan &amp; Co., a financial services company, serving in a variety of capacities, including Chair of J.P. Morgan’s Liquidity Committee, Vice Chairman of J.P. Morgan’s Risk Management Committee, Global Head of Derivative Counterparty Risk Management, head of the swap derivative trading business in Asia and head of short-term interest rate derivatives and foreign exchange forward trading in Europe.</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Mr. Helvey graduated magna cum laude with honors from Wake Forest University. Mr. Helvey was also a Fulbright Scholar at the University of Cologne in Germany and received a Master’s degree in international finance and banking from Columbia University, School of International and Public Affairs, where he was an International Fellow. Mr. Helvey is a director of Computer Task Group, Inc., a publicly traded information technology solutions and services company, Verger Capital Management, LLC and Piedmont Federal Savings Bank, and has also served on the boards of Wake Forest University and the Wake Forest Baptist Medical Center. Mr. Helvey was a director of Pike Corporation, an energy solutions provider, from 2005 to 2014, where he served as Lead Independent Director, Chairman of the Audit Committee and Chairman of the Compensation Committee.</w:t>
      </w:r>
    </w:p>
    <w:p>
      <w:pPr>
        <w:spacing w:after="0" w:line="8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Mr. Helvey’s experience in international business and finance and executive management and as a director of other organizations brings a valuable and necessary perspective to the Board and qualifies him to serve as a member of the Board.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H. Jones</w:t>
      </w:r>
    </w:p>
    <w:p>
      <w:pPr>
        <w:spacing w:after="0" w:line="10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Dr. Jones serves as Chancellor of Columbia International University, a position he has held since July 2017. Dr. Jones served as President of Columbia International University from 2007 to 2017. Prior to accepting the role of President, Dr. Jones served in senior roles as Provost and Senior Vice President of Columbia International University, where he has also taught since 1990. Dr. Jones also serves as President of the International Leadership Team of Crossover Communications International and served as a member of the Board of Trustees and Finance Committee of the South Carolina Independent Colleges and Universities from 2007 until 2017.</w:t>
      </w:r>
    </w:p>
    <w:p>
      <w:pPr>
        <w:spacing w:after="0" w:line="7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Dr. Jones’ demonstrated leadership skills, board experience, academic credentials and success in managing an academic institution qualify him for service on the Board. Dr. Jones’ strong character and experience in matters of ethics also qualify him for service on the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Umesh M. Kasbekar</w:t>
      </w:r>
    </w:p>
    <w:p>
      <w:pPr>
        <w:spacing w:after="0" w:line="108"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Mr. Kasbekar is Non-Executive Vice Chairman of the Board of Coke Consolidated. Mr. Kasbekar served as Executive Vice Chairman of the Board of Coke Consolidated from January 2016 until his retirement in July 2020. Mr. Kasbekar has served as a consultant to the Company since his retirement. He previously served as Secretary of the Company from August 2012 to May 2017 and as Senior Vice President, Planning and Administration of the Company from June 2005 to December 2015. Prior to that, he was the Company’s Vice President, Planning, a position he was elected to in December 1988.</w:t>
      </w:r>
    </w:p>
    <w:p>
      <w:pPr>
        <w:spacing w:after="0" w:line="7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Mr. Kasbekar has served Coke Consolidated for over 30 years in various positions in the Company’s accounting, finance, distribution, manufacturing, corporate planning and administrative functions, providing him with an essential understanding of the Company’s business and history as well as significant knowledge of the beverage industry. Mr. Kasbekar’s years of experience with Coke Consolidated and his industry expertise make him a valuable member of the Board.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M. Katz</w:t>
      </w:r>
    </w:p>
    <w:p>
      <w:pPr>
        <w:spacing w:after="0" w:line="108"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Mr. Katz is President and Chief Operating Officer of Coke Consolidated, a position he has held since December 2018. Prior to that, Mr. Katz served in various positions within the Company, including Executive Vice President and Chief Financial Officer from January 2018 to December 2018, Executive Vice President, Product Supply and Culture &amp; Stewardship from April 2017 to January 2018, Executive Vice President, Human Resources from</w:t>
      </w:r>
    </w:p>
    <w:p>
      <w:pPr>
        <w:spacing w:after="0" w:line="2" w:lineRule="exact"/>
        <w:rPr>
          <w:sz w:val="20"/>
          <w:szCs w:val="20"/>
          <w:color w:val="auto"/>
        </w:rPr>
      </w:pPr>
    </w:p>
    <w:p>
      <w:pPr>
        <w:jc w:val="both"/>
        <w:ind w:left="120" w:right="120"/>
        <w:spacing w:after="0" w:line="253" w:lineRule="auto"/>
        <w:rPr>
          <w:sz w:val="20"/>
          <w:szCs w:val="20"/>
          <w:color w:val="auto"/>
        </w:rPr>
      </w:pPr>
      <w:r>
        <w:rPr>
          <w:rFonts w:ascii="Times New Roman" w:cs="Times New Roman" w:eastAsia="Times New Roman" w:hAnsi="Times New Roman"/>
          <w:sz w:val="18"/>
          <w:szCs w:val="18"/>
          <w:color w:val="auto"/>
        </w:rPr>
        <w:t>April 2016 to April 2017 and Senior Vice President from January 2013 to March 2016. He held the position of Senior Vice President, Midwest Region for Coca-Cola Refreshments USA, Inc. (“CCR”) from November 2010 to December 2012. Prior to the formation of CCR, he was Vice President, Sales Operations for Coca-Cola Enterprises Inc.’s (“CCE”) East Business Unit. From 2008 to 2010, he served as Chief Procurement Officer and as President and Chief Executive Officer of Coca-Cola Bottlers’ Sales &amp; Services Company, LLC. He began his Coca-Cola career in 1993 with CCE as a Logistics Consultant.</w:t>
      </w:r>
    </w:p>
    <w:p>
      <w:pPr>
        <w:spacing w:after="0" w:line="7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Mr. Katz’s diverse experience at Coke Consolidated in the areas of executive leadership, finance, product supply, culture and stewardship and human resources, as well as his long-standing service in the Coca-Cola system and his extensive knowledge of the beverage industry, qualify him to serve as a member of the Board.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Jennifer K. Mann</w:t>
      </w:r>
    </w:p>
    <w:p>
      <w:pPr>
        <w:spacing w:after="0" w:line="108" w:lineRule="exact"/>
        <w:rPr>
          <w:sz w:val="20"/>
          <w:szCs w:val="20"/>
          <w:color w:val="auto"/>
        </w:rPr>
      </w:pPr>
    </w:p>
    <w:p>
      <w:pPr>
        <w:ind w:left="120" w:right="120"/>
        <w:spacing w:after="0" w:line="276" w:lineRule="auto"/>
        <w:rPr>
          <w:sz w:val="20"/>
          <w:szCs w:val="20"/>
          <w:color w:val="auto"/>
        </w:rPr>
      </w:pPr>
      <w:r>
        <w:rPr>
          <w:rFonts w:ascii="Times New Roman" w:cs="Times New Roman" w:eastAsia="Times New Roman" w:hAnsi="Times New Roman"/>
          <w:sz w:val="17"/>
          <w:szCs w:val="17"/>
          <w:color w:val="auto"/>
        </w:rPr>
        <w:t>Ms. Mann is Senior Vice President and President of Global Ventures for The Coca-Cola Company, the world’s largest nonalcoholic beverage company, positions she has held since May 2017 and January 2019, respectively. Prior to holding these positions, she served as Chief People Officer of</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Coca-Cola Company from May 2017 until March 2019, as Chief of Staff for the Chief Executive Officer of The Coca-Cola Company from October 2015 until October 2018 and as Vice President and General Manager of the Coca-Cola Freestyle platform from July 2012 until September 2015. Ms. Mann joined The Coca-Cola Company in 1997 as a Manager in the National Customer Support division of Coca-Cola North America, and has held numerous leadership roles in strategy, marketing and operations over the course of her career at The Coca-Cola Company, including Director of McDonald’s Customer &amp; Consumer Operations, Director of Good Answer, and Vice President of Foodservice &amp; On-Premise Strategy and Marketing for CCR.</w:t>
      </w:r>
    </w:p>
    <w:p>
      <w:pPr>
        <w:spacing w:after="0" w:line="8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Ms. Mann’s diverse experience in strategy, marketing, operations and innovation as well as her position with The Coca-Cola Company and knowledge of the Coca-Cola system and the beverage industry qualify her to serve as a member of the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James H. Morgan</w:t>
      </w:r>
    </w:p>
    <w:p>
      <w:pPr>
        <w:spacing w:after="0" w:line="10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Mr. Morgan has served as Chairman of Covenant Capital LLC, an investment management firm, since February 2015, after previously serving in that capacity from 2001 to 2008. Mr. Morgan also served as Chairman of Krispy Kreme Doughnuts, Inc., a leading branded specialty retailer and wholesaler of premium quality sweet treats and complementary products, from January 2005 to August 2016, as Chief Executive Officer from January 2008 to June 2014, as President from January 2008 to November 2011 and from April 2012 to June 2014 and as Vice Chairman from March 2004 to</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January 2005. Previously, Mr. Morgan served as a consultant to Wachovia Securities, Inc., a securities and investment banking firm, from January 2000 to May 2001. From April 1999 to December 1999, Mr. Morgan was Chairman and Chief Executive Officer of Wachovia Securities, Inc. Mr. Morgan was employed by Interstate/Johnson Lane, an investment banking and brokerage firm, from 1990 to 1999 in various capacities, including as Chairman and Chief Executive Officer. Mr. Morgan served as a director of Lowe’s Companies, Inc., a home improvement retailer, from 2015 to 2020 and was a director of Krispy Kreme Doughnuts, Inc. from 2000 to 2017.</w:t>
      </w:r>
    </w:p>
    <w:p>
      <w:pPr>
        <w:spacing w:after="0" w:line="7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As the current Chairman of Covenant Capital LLC and a former executive at several major public and private companies, Mr. Morgan provides the Board with significant leadership and executive experience. Mr. Morgan’s proven leadership capability and his extensive knowledge of the complex financial and operational issues facing large companies qualify him to serve as a member of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W. Murrey, III</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Murrey was an Assistant Professor at Appalachian School of Law in Grundy, Virginia from August 2003 until his retirement in May 2013.</w:t>
      </w:r>
    </w:p>
    <w:p>
      <w:pPr>
        <w:spacing w:after="0" w:line="27"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Mr. Murrey was of counsel to the law firm of Shumacker Witt Gaither &amp; Whitaker, P.C. in Chattanooga, Tennessee until December 2002, a firm with which he was associated since 1970. Mr. Murrey served as a director of The Dixie Group, Inc., a carpet manufacturer, from 1997 until 2018 and was a director of U.S. Xpress Enterprises, Inc., a truckload carrier, from 2003 until 2007.</w:t>
      </w:r>
    </w:p>
    <w:p>
      <w:pPr>
        <w:spacing w:after="0" w:line="7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Mr. Murrey’s longstanding quality service as a member of the Board, as well as his significant experience serving on the boards of directors of other companies, give him an understanding of the role of a board of directors and qualify him to serve on the Board. Mr. Murrey’s legal background also adds to the diversity of the Board.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Sue Anne H. Wells</w:t>
      </w:r>
    </w:p>
    <w:p>
      <w:pPr>
        <w:spacing w:after="0" w:line="10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Dr. Wells co-founded the Chattanooga Girls Leadership Academy (“CGLA”), a single-gender public charter school providing young women with a rigorous college preparatory education focused on science, technology, engineering, the arts and mathematics, in 2009 and has served as an educator with CGLA since its formation. She is also the owner of Mustang Leadership Partners, an organization dedicated to the protection, preservation and sustainment of the wild American mustang. Dr. Wells currently serves on the boards of the University of Tennessee at Chattanooga, CGLA, the Young Women’s Leadership Academy Foundation, ArtsBuild, The National Mentoring Partnership, Inc. and the Public Education Foundation of Chattanooga, and previously served as a board member of Girls Inc. of Chattanooga and the Siskin Children’s Institute. Dr. Wells graduated from Middlebury College with a M.A. in French and received a Ph.D. in French from the University of North Carolina at Chapel Hill.</w:t>
      </w:r>
    </w:p>
    <w:p>
      <w:pPr>
        <w:spacing w:after="0" w:line="8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Dr. Wells’ extensive service as a director of other organizations and leadership experience qualify her for service on the Board. Dr. Wells is also a member of the founding family of Coke Consolidated and holds a significant pecuniary interest in the stock of Coke Consolidated.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Dennis A. Wicker</w:t>
      </w:r>
    </w:p>
    <w:p>
      <w:pPr>
        <w:spacing w:after="0" w:line="10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Wicker has been a partner in the law firm of Nelson Mullins Riley &amp; Scarborough LLP in its Raleigh, North Carolina office since November 2009. He served as Lt. Governor of the State of North Carolina from 1993 to 2001. Mr. Wicker also previously served as Chairman of the State Board of Community Colleges and as Chairman of North Carolina’s Technology Council. Mr. Wicker currently serves on the board of directors of First Bancorp, a bank holding company, and is a member of the Campbell Law School Board of Visitors. Mr. Wicker was a director of Air T, Inc., an air transportation services company, until 2013.</w:t>
      </w:r>
    </w:p>
    <w:p>
      <w:pPr>
        <w:spacing w:after="0" w:line="7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Mr. Wicker’s leadership skills, years of high-quality service on the Board, service on the boards of directors of First Bancorp and Air T, Inc. and experience in public service qualify him for service on the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Richard T. Williams</w:t>
      </w:r>
    </w:p>
    <w:p>
      <w:pPr>
        <w:spacing w:after="0" w:line="10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Williams served as Vice President of Corporate Community Affairs of Duke Energy Corporation, an electric power holding company, and President of the Duke Energy Foundation, a non-profit philanthropic organization, from March 2012 and March 2007, respectively, until his retirement in December 2015. Mr. Williams served as Vice President, Environmental, Health &amp; Safety of Duke Energy Corporation from May 2008 until March 2012 and as Vice President, Enterprise Field Services of Duke Energy Corporation from January 2006 until May 2008. Mr. Williams currently serves on the boards of HomeTrust Bancshares, Inc., Atrium Health (formerly Carolinas HealthCare System), Hope Haven, Inc., Renaissance West Community Initiative, The Good Fellows Club and the National Association of Corporate Directors—Carolinas Chapter and on the Board of Trustees of Central Piedmont Community College. Mr. Williams previously served on the Board of Trustees of the University of North Carolina at Chapel Hill from 1999 until 2007 (chair, 2003-2005) and on the boards of UNC HealthCare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System from 2008 until 2012, Greater Charlotte YMCA from 2004 until 2014 (chair, 2011-2013), the Mint Museum from 2004 until 2014 (chair, 2011-2013) and Bank of Commerce, Charlotte from 2008 until 2014.</w:t>
      </w:r>
    </w:p>
    <w:p>
      <w:pPr>
        <w:spacing w:after="0" w:line="5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executive leadership skills Mr. Williams’ developed as a long-standing executive with Duke Energy Corporation and his extensive service as a director for a multitude of entities, both non-profit and for-profit, qualify him to serve 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Coke Consolidated is party to an amended and restated stock rights and restrictions agreement, dated February 19, 2009, with The Coca-Cola Company, Carolina Coca-Cola Bottling Investments, Inc. and J. Frank Harrison, III, the Company’s Chairman and Chief Executive Officer. Under the agreement, The Coca-Cola Company has the right to designate one person for nomination to the Board, and Mr. Harrison and the trustees of certain trusts established for the benefit of certain relatives of the late J. Frank Harrison, Jr. have agreed to vote the shares of Coke Consolidated Class B Common Stock that they control in favor of such designee. Ms. Mann has been The Coca-Cola Company’s designee on the Board since May 2017.</w:t>
      </w:r>
    </w:p>
    <w:p>
      <w:pPr>
        <w:spacing w:after="0" w:line="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J. Frank Harrison, III and Sue Anne H. Wells are siblings. J. Frank Harrison, III and Morgan H. Everett are father and daughter. Morgan H. Everett is the niece of Sue Anne H. Wells. In accordance with the operating agreement of the J. Frank Harrison Family, LLC, certain trusts established for the benefit of certain relatives of the late J. Frank Harrison, Jr. and the J. Frank Harrison, III Revocable Trust, Mr. Harrison intends to vote the shares of Coke Consolidated stock owned or controlled by such entities for the election of Dr. Wells to the Board. Mr. Harrison also intends to vote these shares for the election of Ms. Everett to the Board.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Corporate Governance</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 of Directors</w:t>
      </w:r>
    </w:p>
    <w:p>
      <w:pPr>
        <w:spacing w:after="0" w:line="11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Coke Consolidated is governed by the Board of Directors and its various committees. The Board and its committees have general oversight responsibility for the affairs of the Company. In exercising its fiduciary duties, the Board represents and acts on behalf of the Company’s stockholders. The Board has adopted written corporate governance policies, principles and guidelines, known as the Corporate Governance and Nominating Guidelines. The Board also has adopted (i) a Code of Ethics for Senior Financial Officers, which applies to the senior financial officers of the Company, which include the Chief Executive Officer, the Chief Operating Officer, the Chief Financial Officer, the Chief Accounting Officer, the Corporate Controller, the Head of Financial Planning &amp; Analysis and any other person performing similar functions; and (ii) a Code of Business Conduct, which applies to the Company’s directors, officers and employees. The Code of Ethics for Senior Financial Officers and the Code of Business Conduct include guidelines relating to the ethical handling of actual or potential conflicts of interest, compliance with laws, accurate financial reporting and other related topics.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Documents Available</w:t>
      </w:r>
    </w:p>
    <w:p>
      <w:pPr>
        <w:spacing w:after="0" w:line="11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Certain of the Company’s corporate governance materials, including the charters for the Audit Committee, the Compensation Committee and the Executive Committee, as well as the Corporate Governance and Nominating Guidelines, the Code of Ethics for Senior Financial Officers and the Code of Business Conduct, are published on the investor relations portion of the Company’s website, </w:t>
      </w:r>
      <w:r>
        <w:rPr>
          <w:rFonts w:ascii="Times New Roman" w:cs="Times New Roman" w:eastAsia="Times New Roman" w:hAnsi="Times New Roman"/>
          <w:sz w:val="18"/>
          <w:szCs w:val="18"/>
          <w:i w:val="1"/>
          <w:iCs w:val="1"/>
          <w:color w:val="auto"/>
        </w:rPr>
        <w:t>www.cokeconsolidated.com</w:t>
      </w:r>
      <w:r>
        <w:rPr>
          <w:rFonts w:ascii="Times New Roman" w:cs="Times New Roman" w:eastAsia="Times New Roman" w:hAnsi="Times New Roman"/>
          <w:sz w:val="18"/>
          <w:szCs w:val="18"/>
          <w:color w:val="auto"/>
        </w:rPr>
        <w:t xml:space="preserve">. These materials are also available in print free of charge to any stockholder upon request by contacting the Company in writing at Coca-Cola Consolidated, Inc., 4100 Coca-Cola Plaza, Charlotte, North Carolina 28211, Attention: Secretary, or by telephone at (704) 557-4400. Any modifications to these corporate governance materials will be reflected, and the Company intends to post any amendments to, or waivers from, the Code of Ethics for Senior Financial Officers (to the extent required to be disclosed pursuant to Form 8-K), on the investor relations portion of the Company’s website, </w:t>
      </w:r>
      <w:r>
        <w:rPr>
          <w:rFonts w:ascii="Times New Roman" w:cs="Times New Roman" w:eastAsia="Times New Roman" w:hAnsi="Times New Roman"/>
          <w:sz w:val="18"/>
          <w:szCs w:val="18"/>
          <w:i w:val="1"/>
          <w:iCs w:val="1"/>
          <w:color w:val="auto"/>
        </w:rPr>
        <w:t>www.cokeconsolidated.com</w:t>
      </w:r>
      <w:r>
        <w:rPr>
          <w:rFonts w:ascii="Times New Roman" w:cs="Times New Roman" w:eastAsia="Times New Roman" w:hAnsi="Times New Roman"/>
          <w:sz w:val="18"/>
          <w:szCs w:val="18"/>
          <w:color w:val="auto"/>
        </w:rPr>
        <w:t xml:space="preserve">. By referring to the Company’s website, </w:t>
      </w:r>
      <w:r>
        <w:rPr>
          <w:rFonts w:ascii="Times New Roman" w:cs="Times New Roman" w:eastAsia="Times New Roman" w:hAnsi="Times New Roman"/>
          <w:sz w:val="18"/>
          <w:szCs w:val="18"/>
          <w:i w:val="1"/>
          <w:iCs w:val="1"/>
          <w:color w:val="auto"/>
        </w:rPr>
        <w:t>www.cokeconsolidated.com</w:t>
      </w:r>
      <w:r>
        <w:rPr>
          <w:rFonts w:ascii="Times New Roman" w:cs="Times New Roman" w:eastAsia="Times New Roman" w:hAnsi="Times New Roman"/>
          <w:sz w:val="18"/>
          <w:szCs w:val="18"/>
          <w:color w:val="auto"/>
        </w:rPr>
        <w:t>, or any portion thereof, including the investor relations portion of the Company’s website, the Company does not incorporate its website or its contents into this Proxy Statement.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1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Board of Directors determines the independence of its members based on the standards specified by The NASDAQ Stock Market LLC (“NASDAQ”). The Board is not required to be comprised of a majority of independent directors because Coke Consolidated qualifies as a “controlled company” under the NASDAQ listing standards. Coke Consolidated qualifies as a controlled company because more than 50% of its voting power is controlled by the Company’s Chairman and Chief Executive Officer (the “Controlling Stockholder”). NASDAQ adopted its “controlled company” rule in recognition of the fact that a majority stockholder may control the selection of directors and certain key decisions of a company through his or her ownership rights.</w:t>
      </w:r>
    </w:p>
    <w:p>
      <w:pPr>
        <w:spacing w:after="0" w:line="7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conducting its review of director independence, the Board, except as noted below, considered all transactions, relationships or arrangements between each director (and his or her immediate family members and affiliates) and each of Coke Consolidated, its management and its independent registered public accounting firm in each of the most recent three completed fiscal years, including the following transactions, relationships and arrangements all of which are within the NASDAQ independence standards.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6"/>
                <w:szCs w:val="16"/>
                <w:color w:val="auto"/>
              </w:rPr>
            </w:pPr>
          </w:p>
        </w:tc>
        <w:tc>
          <w:tcPr>
            <w:tcW w:w="794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Matter(s) Considered</w:t>
            </w:r>
          </w:p>
        </w:tc>
      </w:tr>
      <w:tr>
        <w:trPr>
          <w:trHeight w:val="191"/>
        </w:trPr>
        <w:tc>
          <w:tcPr>
            <w:tcW w:w="2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Sharon A. Decker</w:t>
            </w:r>
          </w:p>
        </w:tc>
        <w:tc>
          <w:tcPr>
            <w:tcW w:w="200" w:type="dxa"/>
            <w:vAlign w:val="bottom"/>
            <w:shd w:val="clear" w:color="auto" w:fill="CCEEFF"/>
          </w:tcPr>
          <w:p>
            <w:pPr>
              <w:spacing w:after="0"/>
              <w:rPr>
                <w:sz w:val="16"/>
                <w:szCs w:val="16"/>
                <w:color w:val="auto"/>
              </w:rPr>
            </w:pPr>
          </w:p>
        </w:tc>
        <w:tc>
          <w:tcPr>
            <w:tcW w:w="7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Ordinary course sponsorship agreements and beverage sales to Tryon International Equestrian Center, an</w:t>
            </w:r>
          </w:p>
        </w:tc>
      </w:tr>
      <w:tr>
        <w:trPr>
          <w:trHeight w:val="216"/>
        </w:trPr>
        <w:tc>
          <w:tcPr>
            <w:tcW w:w="288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affiliate of Tryon Equestrian Partners. Ms. Decker is President of Tryon Equestrian Partners, Carolina</w:t>
            </w:r>
          </w:p>
        </w:tc>
      </w:tr>
      <w:tr>
        <w:trPr>
          <w:trHeight w:val="234"/>
        </w:trPr>
        <w:tc>
          <w:tcPr>
            <w:tcW w:w="2880" w:type="dxa"/>
            <w:vAlign w:val="bottom"/>
            <w:shd w:val="clear" w:color="auto" w:fill="CCEEFF"/>
          </w:tcPr>
          <w:p>
            <w:pPr>
              <w:spacing w:after="0"/>
              <w:rPr>
                <w:sz w:val="20"/>
                <w:szCs w:val="20"/>
                <w:color w:val="auto"/>
              </w:rPr>
            </w:pPr>
          </w:p>
        </w:tc>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but has no ownership interest therein.</w:t>
            </w: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H. Jones</w:t>
            </w:r>
          </w:p>
        </w:tc>
        <w:tc>
          <w:tcPr>
            <w:tcW w:w="814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course beverage sales to Columbia International University and affiliates of Columbia International</w:t>
            </w:r>
          </w:p>
        </w:tc>
      </w:tr>
      <w:tr>
        <w:trPr>
          <w:trHeight w:val="234"/>
        </w:trPr>
        <w:tc>
          <w:tcPr>
            <w:tcW w:w="2880" w:type="dxa"/>
            <w:vAlign w:val="bottom"/>
          </w:tcPr>
          <w:p>
            <w:pPr>
              <w:spacing w:after="0"/>
              <w:rPr>
                <w:sz w:val="20"/>
                <w:szCs w:val="20"/>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University. Dr. Jones is the Chancellor of Columbia International University.</w:t>
            </w:r>
          </w:p>
        </w:tc>
      </w:tr>
      <w:tr>
        <w:trPr>
          <w:trHeight w:val="364"/>
        </w:trPr>
        <w:tc>
          <w:tcPr>
            <w:tcW w:w="2880" w:type="dxa"/>
            <w:vAlign w:val="bottom"/>
          </w:tcPr>
          <w:p>
            <w:pPr>
              <w:spacing w:after="0"/>
              <w:rPr>
                <w:sz w:val="24"/>
                <w:szCs w:val="24"/>
                <w:color w:val="auto"/>
              </w:rPr>
            </w:pPr>
          </w:p>
        </w:tc>
        <w:tc>
          <w:tcPr>
            <w:tcW w:w="8140" w:type="dxa"/>
            <w:vAlign w:val="bottom"/>
            <w:gridSpan w:val="2"/>
          </w:tcPr>
          <w:p>
            <w:pPr>
              <w:jc w:val="right"/>
              <w:ind w:right="5339"/>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Board did not consider transactions with entities in which a director or immediate family member served only as a trustee or director because the Board believes that the nature of the separate relationships the Company and the director or an immediate family member each have with these organizations would not interfere with the exercise of independent judgment in carrying out the responsibilities of a director. The Board also did not consider de minimis amounts of entertainment of directors paid for by employee-directors or executive officers.</w:t>
      </w:r>
    </w:p>
    <w:p>
      <w:pPr>
        <w:spacing w:after="0" w:line="7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its review, the Board has determined that the following seven directors and director nominees, comprising more than one-half of the Board, are independent: Sharon A. Decker, James R. Helvey, III, William H. Jones, James H. Morgan, John W. Murrey, III, Dennis A. Wicker and Richard T. Williams. The Board also has determined that each member of the Audit Committee and the Compensation Committee (see membership information below under “—Board Committees”) is independent, including that each member of the Audit Committee is “independent” as that term is defined under Rule 10A-3(b)(1)(ii) of the Securities Exchange Act of 1934, as amended (the “Exchange Act”).</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independent members of the Board meet at least twice each year in executive session without the other directors.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Structure</w:t>
      </w:r>
    </w:p>
    <w:p>
      <w:pPr>
        <w:spacing w:after="0" w:line="116"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The Board does not have a general policy regarding the separation of the roles of Chairman and Chief Executive Officer, or CEO. The Company’s Amended and Restated By-laws (the “By-laws”) permit these positions to be held by the same person, and the Board believes that it is in the best interests of Coke Consolidated to retain flexibility in determining whether to separate or combine the roles of Chairman and CEO based on the Company’s circumstances at a particular time.</w:t>
      </w:r>
    </w:p>
    <w:p>
      <w:pPr>
        <w:spacing w:after="0" w:line="7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Mr. Harrison currently serves as both the Chairman of the Board and the CEO of Coke Consolidated. The Board has determined that it is appropriate for Mr. Harrison to serve as both Chairman and CEO (i) in recognition of Mr. Harrison’s ownership of a controlling equity interest in Coke Consolidated and unique position within the Company and the Coca-Cola system and (ii) because it provides an efficient structure that permits the Company to present a unified vision to its constituencies.</w:t>
      </w:r>
    </w:p>
    <w:p>
      <w:pPr>
        <w:spacing w:after="0" w:line="7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March 2021, the Board reappointed Mr. Wicker to serve as Lead Independent Director. The Lead Independent Director (i) presides over all meetings of the independent directors in executive session, (ii) serves as a liaison between the Chairman of the Board and the independent directors, (iii) has authority to call meetings of the independent directors and (iv) serves as a contact person to facilitate communications between employees, stockholders and others with the independent directors.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1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Compensation Committee and Executive Committee. Committee members and committee chairs are appointed by the Board. The members and chairs of these committees are identified in the following table: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Audit</w:t>
            </w: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77"/>
        </w:trPr>
        <w:tc>
          <w:tcPr>
            <w:tcW w:w="3460" w:type="dxa"/>
            <w:vAlign w:val="bottom"/>
            <w:vMerge w:val="continue"/>
          </w:tcPr>
          <w:p>
            <w:pPr>
              <w:spacing w:after="0"/>
              <w:rPr>
                <w:sz w:val="15"/>
                <w:szCs w:val="15"/>
                <w:color w:val="auto"/>
              </w:rPr>
            </w:pPr>
          </w:p>
        </w:tc>
        <w:tc>
          <w:tcPr>
            <w:tcW w:w="3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Committee</w:t>
            </w: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Committee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Frank Harrison, III</w:t>
            </w:r>
          </w:p>
        </w:tc>
        <w:tc>
          <w:tcPr>
            <w:tcW w:w="3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Sharon A. Decker</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H. Everett</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James R. Helvey, III</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Jones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Umesh M. Kasbekar</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 Katz</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Jennifer K. Mann</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Morgan</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Chairman</w:t>
            </w:r>
          </w:p>
        </w:tc>
        <w:tc>
          <w:tcPr>
            <w:tcW w:w="14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John W. Murrey, III</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Sue Anne H. Wells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Dennis A. Wicker</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Chairman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T. Williams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32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Each committee of the Board of Directors functions pursuant to a written charter adopted by the Board. The following table provides information about the operation and key functions of these committees: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Committee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94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Key Functions and Additional Information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Meetings in</w:t>
            </w:r>
          </w:p>
        </w:tc>
        <w:tc>
          <w:tcPr>
            <w:tcW w:w="0" w:type="dxa"/>
            <w:vAlign w:val="bottom"/>
          </w:tcPr>
          <w:p>
            <w:pPr>
              <w:spacing w:after="0"/>
              <w:rPr>
                <w:sz w:val="1"/>
                <w:szCs w:val="1"/>
                <w:color w:val="auto"/>
              </w:rPr>
            </w:pPr>
          </w:p>
        </w:tc>
      </w:tr>
      <w:tr>
        <w:trPr>
          <w:trHeight w:val="177"/>
        </w:trPr>
        <w:tc>
          <w:tcPr>
            <w:tcW w:w="15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Fiscal 2020</w:t>
            </w:r>
          </w:p>
        </w:tc>
        <w:tc>
          <w:tcPr>
            <w:tcW w:w="0" w:type="dxa"/>
            <w:vAlign w:val="bottom"/>
          </w:tcPr>
          <w:p>
            <w:pPr>
              <w:spacing w:after="0"/>
              <w:rPr>
                <w:sz w:val="1"/>
                <w:szCs w:val="1"/>
                <w:color w:val="auto"/>
              </w:rPr>
            </w:pPr>
          </w:p>
        </w:tc>
      </w:tr>
      <w:tr>
        <w:trPr>
          <w:trHeight w:val="182"/>
        </w:trPr>
        <w:tc>
          <w:tcPr>
            <w:tcW w:w="15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Audit</w:t>
            </w: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40" w:type="dxa"/>
            <w:vAlign w:val="bottom"/>
            <w:tcBorders>
              <w:top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Assists the Board in its oversight of (i) the Company’s accounting and financial reporting processes,</w:t>
            </w:r>
          </w:p>
        </w:tc>
        <w:tc>
          <w:tcPr>
            <w:tcW w:w="5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Committee</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(ii) the integrity of the Company’s financial statements, (iii) the Company’s compliance with legal</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regulatory requirements, (iv) the qualifications and independence of the Company’s independent</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registered public accounting firm and (v) the performance of the Company’s internal audit function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the Company’s independent registered public accounting firm.</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Appoints, compensates, retains and oversees the work of the Company’s independent registered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accounting firm.</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Reviews and discusses with management and the Company’s independent registered public</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accounting firm the annual and quarterly financial statements and earnings releases.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Considers and pre-approves all audit services, internal control-related services and permissible</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non-audit services proposed to be performed by the Company’s independent registered public</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accounting firm.</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Assists the Board in its oversight of enterprise risk management.</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Reviews and, if appropriate, approves or ratifies related person transactions.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Monitors the adequacy of the Company’s reporting and internal controls.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Reports regularly to the Board.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Board of Directors has determined that each of Messrs. Helvey and Morgan is an “audit</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committee financial expert” within the meaning of the SEC rules.</w:t>
            </w: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700" w:type="dxa"/>
            <w:vAlign w:val="bottom"/>
            <w:gridSpan w:val="2"/>
          </w:tcPr>
          <w:p>
            <w:pPr>
              <w:ind w:lef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8"/>
                <w:szCs w:val="18"/>
                <w:color w:val="auto"/>
              </w:rPr>
              <w:t>Oversees the administration of the Company’s compensation plans.</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Committee</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Reviews and approves the compensation of the executive officers.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Reviews and approves the compensation of the members of the Board.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Reviews and approves employment offers and arrangements, severance arrangements, retirement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arrangements, change in control arrangements and other benefits for each executive officer.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Oversees regulatory compliance and risk regarding compensation matters.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Appoints individuals to serve as members of the Corporate Benefits Committee for the broad-based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health and welfare and retirement benefit plans sponsored by the Company and receives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periodic reports from such committee regarding its significant actions.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Reports regularly to the Board.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w:t>
            </w:r>
          </w:p>
        </w:tc>
        <w:tc>
          <w:tcPr>
            <w:tcW w:w="700" w:type="dxa"/>
            <w:vAlign w:val="bottom"/>
            <w:gridSpan w:val="2"/>
            <w:shd w:val="clear" w:color="auto" w:fill="CCEEFF"/>
          </w:tcPr>
          <w:p>
            <w:pPr>
              <w:ind w:lef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Assists the Board in handling matters that need to be addressed before the next scheduled Board</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Committee</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Identifies, evaluates and recommends director candidates to the Board.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Reports regularly to the Board.</w:t>
            </w: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may also establish other committees from time to time as it deems necessary.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Meeting Attendance</w:t>
      </w:r>
    </w:p>
    <w:p>
      <w:pPr>
        <w:spacing w:after="0" w:line="116"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The Board of Directors held four meetings during fiscal 2020. Each incumbent director attended, or participated by means of remote communication in, 75% or more of the aggregate number of meetings of the Board and committees of the Board on which the director served during fiscal 2020. Absent extenuating circumstances, each director is required to attend the Company’s annual meeting of stockholders. All 13 of the Company’s directors participated in the Company’s 2020 Annual Meeting of Stockholders, which was held virtually via live audio webcast due to the COVID-19 pandemic.</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Nomination Process</w:t>
      </w:r>
    </w:p>
    <w:p>
      <w:pPr>
        <w:spacing w:after="0" w:line="11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Board does not have a standing Nominating Committee comprised solely of independent directors. The Board is not required to have such a committee because Coke Consolidated qualifies as a “controlled company” under the NASDAQ listing standards as further described under “—Director Independence” beginning on page 15.</w:t>
      </w:r>
    </w:p>
    <w:p>
      <w:pPr>
        <w:spacing w:after="0" w:line="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Board has delegated to the Executive Committee the responsibility for identifying, evaluating and recommending director candidates to the Board, subject to the final approval of the Controlling Stockholder who is also a member of the Executive Committee. Because Coke Consolidated is a controlled company and all director candidates must be acceptable to the Controlling Stockholder, the Board has approved the following nomination and appointment process to provide the Company’s constituencies with a voice in the identification of candidates for nomination and appointment.</w:t>
      </w:r>
    </w:p>
    <w:p>
      <w:pPr>
        <w:spacing w:after="0" w:line="7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identifying potential director candidates, the Executive Committee may seek input from other directors, executive officers, employees, community leaders, business contacts, third-party search firms and any other sources deemed appropriate by the Executive Committee. The Executive Committee will also consider director candidates appropriately recommended by stockholders.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evaluating director candidates, the Executive Committee does not set specific, minimum qualifications that must be met by a director candidate.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Rather, the Executive Committee considers the following factors in addition to any other factors deemed appropriate by the Executive Committee:</w:t>
      </w:r>
    </w:p>
    <w:p>
      <w:pPr>
        <w:spacing w:after="0" w:line="112"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is of the highest ethical character and shares the values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candidate’s reputation, both personal and professional, is consistent with the image and reputation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possesses expertise or experience that will benefit the Company and that is desirable given the current makeup of the Board;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represents a diversity of viewpoints, backgrounds, experiences or other demographics;</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is “independent” as defined by the applicable NASDAQ listing standards and other applicable laws, rules or regulations regarding independence;</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is eligible to serve on the Audit Committee or other Board committees under the applicable NASDAQ listing standards and other applicable laws, rules or regulations;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is eligible by reason of any legal or contractual requirements affecting the Company or its stockholders;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is free from conflicts of interest that would interfere with the candidate’s ability to perform the duties of a director or that would violate any applicable listing standard or other applicable law, rule or regulation;</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candidate’s service as an executive officer of another company or on the boards of directors of other companies would interfere with the candidate’s ability to devote sufficient time to discharge his or her duties as a director;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candidate is an incumbent director, the director’s overall service to the Company during the director’s term, including the number of meetings attended, the level of participation and the overall quality of performance of the director.</w:t>
      </w:r>
    </w:p>
    <w:p>
      <w:pPr>
        <w:spacing w:after="0" w:line="54"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Diversity is one of the various factors the Executive Committee may consider in identifying director candidates, but the Executive Committee does not have a formal policy regarding board diversity. All director candidates, including candidates appropriately recommended by stockholders, are evaluated in accordance with the process described above. The Executive Committee will not recommend any potential director candidate that is not acceptable to the Controlling Stockholder.</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Recommendations of Director Candidates</w:t>
      </w:r>
    </w:p>
    <w:p>
      <w:pPr>
        <w:spacing w:after="0" w:line="11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Stockholders may recommend a director candidate to be considered for the Company’s 2022 Annual Meeting of Stockholders by submitting the candidate’s name in accordance with provisions of the By-laws, which require advance notice to the Company and certain other information. Written notice must be received by the Company’s Secretary at Coca-Cola Consolidated, Inc., 4100 Coca-Cola Plaza, Charlotte, North Carolina 28211 not later than the close of business on the 90th day nor earlier than the close of business on the 120th day prior to the first anniversary of the Annual Meeting. As a result, notice of director candidates submitted by a stockholder pursuant to the provisions of the By-laws must be received not earlier than the close of business on January 11, 2022 and not later than the close of business on February 10, 2022. However, in the event that the date of the 2022 Annual Meeting of Stockholders is more than 30 days before or more than 60 days after May 11, 2022, notice by the stockholder to be timely must be so received not earlier than the close of business on the 120th day prior to the date of the 2022 Annual Meeting of Stockholders and not later than the close of business on the later of the 90th day prior to the date of such annual meeting or the 10th day following the day on which public announcement of the date of such meeting is first made by the Company.</w:t>
      </w:r>
    </w:p>
    <w:p>
      <w:pPr>
        <w:spacing w:after="0" w:line="8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notice must contain certain information about the director candidate and the stockholder submitting the nomination, as set forth in the By-laws, including (i) as to each person whom the stockholder proposes to nominate for election or reelection as a director, such nominee’s name, age, business address and, if known, residence address, principal occupation or employment, the class and number of shares of any capital stock of the Company which are beneficially owned by such person and all information relating to such person that is required to be disclosed in solicitations of proxies for election of directors or is otherwise required by the SEC rules promulgated under the Exchange Act, and (ii) as to the stockholder giving the notice and any Stockholder Associated Person (as defined in the By-laws), the name and address of such stockholder and any Stockholder Associated Person, as they appear on the Company’s books, the class or series and number of shares of the Company which are directly or indirectly owned beneficially and of record by such stockholder or any Stockholder Associated Person and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(a “Derivative Instrument”) directly or indirectly owned beneficially by such stockholder or any Stockholder Associated Person, and any other direct or indirect opportunity of such stockholder or any Stockholder Associated Person to profit or share in any profit derived from any increase or decrease in the value of the shares of the Company, any proxy, contract, arrangement, understanding or relationship pursuant to which such stockholder or any Stockholder Associated Person has a right to vote any shares of any security of the Company, any short interest of such stockholder or any Stockholder Associated Person in any security of the Company (for purposes of the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any rights to dividends on the shares of the Company owned beneficially by such stockholder or any Stockholder Associated Person that are separated or separable from the underlying shares of the Company, any proportionate interest in shares of the Company or Derivative Instruments held, directly or indirectly, by a general or limited partnership in which such stockholder or any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Stockholder Associated Person is a general partner or, directly or indirectly, beneficially owns an interest in a general partner, and any performance-related fees (other than an asset-based fee) that such stockholder or any Stockholder Associated Person is entitled to receive, either directly or indirectly, based on any increase or decrease in the value of shares of the Company or Derivative Instruments. A stockholder who is interested in recommending a director candidate should request a copy of the By-laws by writing to the Company’s Secretary at Coca-Cola Consolidated, Inc., 4100 Coca-Cola Plaza, Charlotte, North Carolina 28211.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Prohibitions Against Hedging or Short Selling</w:t>
      </w:r>
    </w:p>
    <w:p>
      <w:pPr>
        <w:spacing w:after="0" w:line="11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Coke Consolidated maintains an Insider Trading Policy that prohibits any hedging or short selling (profiting if the market price decreases) of Coke Consolidated securities by any director, officer or employee of the Company or any of its subsidiaries.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Policy for Review of Related Person Transactions</w:t>
      </w:r>
    </w:p>
    <w:p>
      <w:pPr>
        <w:spacing w:after="0" w:line="116"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The Company has a written policy and procedures for the review, approval or ratification of any transactions that could potentially be required to be reported under the SEC rules for disclosure of transactions with (i) an executive officer or director of the Company, or any individual who served as an executive officer or director of the Company at any time during the current or prior fiscal year, (ii) a nominee for election as a director of the Company,</w:t>
      </w:r>
    </w:p>
    <w:p>
      <w:pPr>
        <w:spacing w:after="0" w:line="2" w:lineRule="exact"/>
        <w:rPr>
          <w:sz w:val="20"/>
          <w:szCs w:val="20"/>
          <w:color w:val="auto"/>
        </w:rPr>
      </w:pPr>
    </w:p>
    <w:p>
      <w:pPr>
        <w:ind w:left="120" w:right="20" w:hanging="4"/>
        <w:spacing w:after="0" w:line="251"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beneficial owner of at least 5% of any class of the Company’s voting securities (a “Significant Stockholder”) or (iv) an immediate family member of any of the foregoing. The Company’s General Counsel is responsible for reviewing any proposed transaction that he receives notice of to determine whether such transaction constitutes a related person transaction that is required to be presented to the Audit Committee of the Board of Directors in accordance with the policy. For any such related person transaction, the General Counsel or his designee must present to the Audit Committee information regarding each such transaction, including all material facts and circumstances relating thereto. Prior to the Company entering into any related person transaction involving a Significant Stockholder, a director, a nominee for election as a director, the Chief Executive Officer or the General Counsel and/or their immediate family members, the Audit Committee at its next regularly scheduled meeting must review the material facts of the transaction and determine whether to approve the entry by the Company into the transaction. Prior to the Company entering into any related person transaction involving any executive officer other than the Chief Executive Officer or the General Counsel and/or their immediate family members, the General Counsel must review the material facts of the transaction and determine whether to approve the entry by the Company into the transaction. All determinations by the General Counsel under the policy will be reported to the Audit Committee at its next regularly scheduled meeting.</w:t>
      </w:r>
    </w:p>
    <w:p>
      <w:pPr>
        <w:spacing w:after="0" w:line="8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policy includes certain categories of pre-approved transactions. For transactions that are not pre-approved, the Audit Committee or the Company’s General Counsel, as applicable, in assessing a transaction with a related person, may consider all relevant facts and circumstances, including, without limitation, (i) the commercial reasonableness of the terms of the transaction and whether the transaction is on terms no more favorable than terms generally available to an unaffiliated third party under the same or similar circumstances, (ii) the significance of the transaction to investors in light of all circumstances, (iii) the materiality of the related person’s direct or indirect interest in the transaction taking into account factors such as the importance of the interest to the related person and the amount involved in the transaction, (iv) the materiality of the transaction to the Company, (v) if the related person is a director or a nominee for election as a director or a member of their immediate families, the impact of the transaction on the director’s or director nominee’s independence under applicable guidelines and regulations and (vi) the actual or apparent conflict of interest of the related person participating in the transaction.</w:t>
      </w:r>
    </w:p>
    <w:p>
      <w:pPr>
        <w:spacing w:after="0" w:line="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Board of Directors also forms special committees, composed of independent and disinterested members of the Board, from time to time for the purpose of approving certain related person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Related Person Transactions</w:t>
      </w:r>
    </w:p>
    <w:p>
      <w:pPr>
        <w:spacing w:after="0" w:line="116" w:lineRule="exact"/>
        <w:rPr>
          <w:sz w:val="20"/>
          <w:szCs w:val="20"/>
          <w:color w:val="auto"/>
        </w:rPr>
      </w:pPr>
    </w:p>
    <w:p>
      <w:pPr>
        <w:ind w:left="120" w:right="220"/>
        <w:spacing w:after="0" w:line="272" w:lineRule="auto"/>
        <w:rPr>
          <w:sz w:val="20"/>
          <w:szCs w:val="20"/>
          <w:color w:val="auto"/>
        </w:rPr>
      </w:pPr>
      <w:r>
        <w:rPr>
          <w:rFonts w:ascii="Times New Roman" w:cs="Times New Roman" w:eastAsia="Times New Roman" w:hAnsi="Times New Roman"/>
          <w:sz w:val="17"/>
          <w:szCs w:val="17"/>
          <w:color w:val="auto"/>
        </w:rPr>
        <w:t>The Company’s business consists primarily of the distribution, marketing and manufacture of nonalcoholic beverages of The Coca-Cola Company, which is the sole owner of the formulas under which the primary components of its soft drink products, either concentrate or syrup, are manufactured. Accordingly, the Company routinely engages in various transactions with The Coca-Cola Company and its affiliates. As of March 15, 2021,</w:t>
      </w:r>
    </w:p>
    <w:p>
      <w:pPr>
        <w:spacing w:after="0" w:line="2"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Coca-Cola Company owned approximately 27% of Coke Consolidated’s total outstanding Common Stock and Class B Common Stock on a consolidated basis, representing approximately 5% of the total voting power of Coke Consolidated Common Stock and Class B Common Stock voting together.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 Transformation Transactions with The Coca-Cola Company</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October 2017, the Company completed a series of transactions with The Coca-Cola Company and CCR, a wholly owned subsidiary of</w:t>
      </w:r>
    </w:p>
    <w:p>
      <w:pPr>
        <w:spacing w:after="0" w:line="27"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The Coca-Cola Company, which were initiated in April 2013 as part of The Coca-Cola Company’s multi-year refranchising of its North American bottling territories (the “System Transformation”). Through several asset purchase and asset exchange transactions with The Coca-Cola Company and CCR, the Company significantly expanded its distribution and manufacturing operations through the acquisition and exchange of distribution territories and regional manufacturing plants. The Company now distributes, markets and manufactures nonalcoholic beverages in territories spanning 14 states and the District of Columbia, and operates a total of 13 manufacturing plants (including one plant owned by a manufacturing cooperative in which the Company is a shareholder).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Beverage Distribution and Manufacturing Agreements with The Coca-Cola Company and CCR</w:t>
      </w:r>
    </w:p>
    <w:p>
      <w:pPr>
        <w:spacing w:after="0" w:line="10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has (i) rights to distribute, promote, market and sell certain nonalcoholic beverages of The Coca-Cola Company pursuant to comprehensive beverage agreements (collectively, the “CBA”) with The Coca-Cola Company and CCR and (ii) rights to manufacture, produce and package certain beverages bearing trademarks of The Coca-Cola Company at the Company’s manufacturing plants pursuant to a regional manufacturing agreement with The Coca-Cola Company. These agreements, which are the Company’s principal agreements with The Coca-Cola Company and its affiliates following completion of the System Transformation, are described below.</w:t>
      </w:r>
    </w:p>
    <w:p>
      <w:pPr>
        <w:spacing w:after="0" w:line="7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Distribution Agreement with The Coca-Cola Company and CCR</w:t>
      </w:r>
      <w:r>
        <w:rPr>
          <w:rFonts w:ascii="Times New Roman" w:cs="Times New Roman" w:eastAsia="Times New Roman" w:hAnsi="Times New Roman"/>
          <w:sz w:val="18"/>
          <w:szCs w:val="18"/>
          <w:color w:val="auto"/>
        </w:rPr>
        <w:t>. The Company has rights to distribute, promote, market and sell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nonalcoholic beverages of The Coca-Cola Company pursuant to the CBA with The Coca-Cola Company and CCR. The CBA requires the Company to make quarterly sub-bottling payments to CCR on a continuing basis in exchange for the grant of exclusive rights to distribute, promote, market and sell the authorized brands of The Coca-Cola Company and related products in certain of the Company’s distribution territories. The amount of these payments is based on gross profit derived from the Company’s sales of certain beverages and beverage products of The Coca-Cola Company as well as certain cross-licensed beverage brands not owned or licensed by The Coca-Cola Company. These sub-bottling payments to CCR are for the distribution territories the Company acquired in the System Transformation and are not applicable to the territories the Company served prior to the System Transformation or to those territories the Company acquired in an exchange transaction. During fiscal 2020, the Company made sub-bottling payments of $43.4 million to CCR pursuant to the CBA. The Company accounts for the quarterly sub-bottling payments as contingent consideration.</w:t>
      </w:r>
    </w:p>
    <w:p>
      <w:pPr>
        <w:spacing w:after="0" w:line="8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For more information about the accounting treatment of the quarterly sub-bottling payments, see Note 16 to the consolidated financial statements included in the Company’s Annual Report on Form 10-K for fiscal 2020.</w:t>
      </w:r>
    </w:p>
    <w:p>
      <w:pPr>
        <w:spacing w:after="0" w:line="5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CBA contains provisions that apply in the event of a potential sale of the Company or its aggregate businesses related to the distribution, promotion, marketing and sale of beverages and beverage products of The Coca-Cola Company. Pursuant to the CBA, the Company may only sell its distribution business to either The Coca-Cola Company or third-party buyers approved by The Coca-Cola Company. The Company can obtain a list of approved third-party buyers from The Coca-Cola Company on an annual basis or can seek The Coca-Cola Company’s approval of a potential buyer upon receipt of a third-party offer to purchase the distribution business. If the Company wishes to sell its distribution business to The Coca-Cola Company and is unable to agree with The Coca-Cola Company on the terms of a binding purchase and sale agreement, including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purchase price for the distribution business, the CBA provides that the Company may either withdraw from negotiations or initiate a third-party valuation process to determine the purchase price and, upon this determination, opt to continue with the potential sale to The Coca-Cola Company. If the Company elects to continue with the potential sale, The Coca-Cola Company would then have the option to (i) purchase the distribution business at the purchase price determined by the third-party valuation process and pursuant to the sale terms set forth in the CBA (including, to the extent not otherwise agreed to by the Company and The Coca-Cola Company, default non-price terms and conditions of the acquisition agreement) or (ii) elect not to purchase the distribution business, in which case the CBA would be automatically amended to, among other things, permit the Company to sell its distribution business to any third party without obtaining The Coca-Cola Company’s prior approval.</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CBA further provides:</w:t>
      </w:r>
    </w:p>
    <w:p>
      <w:pPr>
        <w:spacing w:after="0" w:line="131" w:lineRule="exact"/>
        <w:rPr>
          <w:sz w:val="20"/>
          <w:szCs w:val="20"/>
          <w:color w:val="auto"/>
        </w:rPr>
      </w:pPr>
    </w:p>
    <w:p>
      <w:pPr>
        <w:ind w:left="1080" w:right="10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Coca-Cola Company to terminate the CBA in the event of an uncured default by the Company, in which case The Coca-Cola Company (or its designee) is required to acquire the Company’s distribution business;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Company maintain an annual equivalent case volume per capita change rate that is not less than one standard deviation below the median of the rates for all U.S. Coca-Cola bottlers for the same period;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Company make minimum, ongoing capital expenditures in its distribution business at a specified level.</w:t>
      </w:r>
    </w:p>
    <w:p>
      <w:pPr>
        <w:spacing w:after="0" w:line="117"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The CBA prohibits the Company from producing, manufacturing, preparing, packaging, distributing, selling, dealing in or otherwise using or handling any beverages, beverage components or other beverage products (i) other than the beverages and beverage products of The Coca-Cola Company and certain expressly permitted cross-licensed brands and (ii) unless otherwise consented to by The Coca-Cola Company. The CBA has a term of 10 years and is renewable by the Company indefinitely for successive additional terms of 10 years, unless earlier terminated as provided therein.</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the CBA, see “Item 1. Business” in the Company’s Annual Report on Form 10-K for fiscal 2020.</w:t>
      </w:r>
    </w:p>
    <w:p>
      <w:pPr>
        <w:spacing w:after="0" w:line="113" w:lineRule="exact"/>
        <w:rPr>
          <w:sz w:val="20"/>
          <w:szCs w:val="20"/>
          <w:color w:val="auto"/>
        </w:rPr>
      </w:pPr>
    </w:p>
    <w:p>
      <w:pPr>
        <w:ind w:left="120" w:right="10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Manufacturing Agreement with The Coca-Cola Company</w:t>
      </w:r>
      <w:r>
        <w:rPr>
          <w:rFonts w:ascii="Times New Roman" w:cs="Times New Roman" w:eastAsia="Times New Roman" w:hAnsi="Times New Roman"/>
          <w:sz w:val="18"/>
          <w:szCs w:val="18"/>
          <w:color w:val="auto"/>
        </w:rPr>
        <w:t>. The Company has rights to manufacture, produce and package certain beverages bearing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of The Coca-Cola Company at the Company’s manufacturing plants pursuant to a regional manufacturing agreement with</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Coca-Cola Company entered into on March 31, 2017 (as amended, the “RMA”). These beverages may be distributed by the Company for its own account in accordance with the CBA or may be sold by the Company to certain other U.S. Coca-Cola bottlers or to The Cola-Cola Company in accordance with the RMA. For prices determined pursuant to the RMA, The Coca-Cola Company unilaterally establishes from time to time the prices, or certain elements of the formulas used to determine the prices, that the Company charges for these sales to certain other U.S. Coca-Cola bottlers or to The Coca-Cola Company.</w:t>
      </w:r>
    </w:p>
    <w:p>
      <w:pPr>
        <w:spacing w:after="0" w:line="7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RMA, the Company’s aggregate business primarily related to the manufacture of certain beverages of The Coca-Cola Company and permitted third-party beverage products are subject to the same agreed upon sale process provisions in the CBA, including the obligation to obtain</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Coca-Cola Company’s prior approval of a potential purchaser of the Company’s manufacturing business, and provisions for the sale of such business to The Coca-Cola Company. The RMA requires that the Company make minimum, ongoing capital expenditures in its manufacturing business at a specified level. The Coca-Cola Company has the right to terminate the RMA in the event of an uncured default by the Company under the CBA or in the event of an uncured breach of the Company’s material obligations under the RMA or the Company’s national product supply governance agreement.</w:t>
      </w:r>
    </w:p>
    <w:p>
      <w:pPr>
        <w:spacing w:after="0" w:line="7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RMA prohibits the Company from manufacturing any beverages, beverage components or other beverage products (i) other than the beverages and beverage products of The Coca-Cola Company and certain expressly permitted cross-licensed brands and (ii) unless otherwise consented to by The Coca-Cola Company. Subject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Coca-Cola Company’s termination rights, the RMA has a term that continues for the duration of the term of the CBA.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the RMA, see “Item 1. Business” in the Company’s Annual Report on Form 10-K for fiscal 2020.</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Concentrates and Syrups; Marketing Programs</w:t>
      </w:r>
    </w:p>
    <w:p>
      <w:pPr>
        <w:spacing w:after="0" w:line="108"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Coca-Cola Company generally entitle the Company to purchase concentrates and syrups at prices, on terms of payment, and on other terms and conditions of supply as determined from time to time by The Coca-Cola Company in its sole discretion. Coke Consolidated also has entered into supplemental agreements with The Coca-Cola Company generally providing that The Coca-Cola Company will sell concentrates and syrups to the Company at prices no greater than those charged to other bottlers party to agreements substantially similar to those between the Company and The Coca-Cola Company.</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Coke Consolidated has an incidence-based pricing agreement with The Coca-Cola Company, which establishes the prices charged by</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The Coca-Cola Company to the Company for (i) concentrates of sparkling and certain still beverages produced by the Company and (ii) certain purchased still beverages. Under the incidence-based pricing agreement, the prices charged by The Coca-Cola Company are subject to quarterly adjustment as described in the agreement based on the determination of The Coca-Cola Company’s incidence revenue and are impacted by a number of factors, including the incidence rate in effect, the Company’s pricing and sales of finished products, the channels in which the finished products are sold, the package mix and, in the case of products sold by The Coca-Cola Company to the Company in finished form, the cost of goods for certain elements used in such products. The Coca-Cola Company has no rights under the incidence-based pricing agreement to establish the prices, or the elements of the formulas used to determines the prices, at which the Company sells products, but does have the right to establish certain pricing under other agreements, including the RMA.</w:t>
      </w:r>
    </w:p>
    <w:p>
      <w:pPr>
        <w:spacing w:after="0" w:line="8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CBA requires the Company to use all approved means and to spend such funds on advertising and other forms of marketing as reasonably required to create, stimulate and satisfy demand for The Coca-Cola Company’s beverages and beverage products in the Company’s territories. Coke Consolidated is required to meet with The Coca-Cola Company each year to present its annual and long-range operating, marketing, management and advertising plans, including financial plans showing that Coke Consolidated has the financial capacity to perform its duties and obligations to The Coca-Cola Company.</w:t>
      </w:r>
    </w:p>
    <w:p>
      <w:pPr>
        <w:spacing w:after="0" w:line="7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Although The Coca-Cola Company has provided Coke Consolidated with marketing funding support in the past, the Company’s bottling agreements generally do not obligate The Coca-Cola Company to do so.</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significant transactions between Coke Consolidated and The Coca-Cola Company during fiscal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20" w:type="dxa"/>
            <w:vAlign w:val="bottom"/>
            <w:vMerge w:val="restart"/>
          </w:tcPr>
          <w:p>
            <w:pPr>
              <w:spacing w:after="0"/>
              <w:rPr>
                <w:sz w:val="20"/>
                <w:szCs w:val="20"/>
                <w:color w:val="auto"/>
              </w:rPr>
            </w:pPr>
            <w:r>
              <w:rPr>
                <w:rFonts w:ascii="Arial" w:cs="Arial" w:eastAsia="Arial" w:hAnsi="Arial"/>
                <w:sz w:val="14"/>
                <w:szCs w:val="14"/>
                <w:b w:val="1"/>
                <w:bCs w:val="1"/>
                <w:color w:val="auto"/>
              </w:rPr>
              <w:t>Transactions</w:t>
            </w:r>
          </w:p>
        </w:tc>
        <w:tc>
          <w:tcPr>
            <w:tcW w:w="5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 Amount</w:t>
            </w:r>
          </w:p>
        </w:tc>
        <w:tc>
          <w:tcPr>
            <w:tcW w:w="0" w:type="dxa"/>
            <w:vAlign w:val="bottom"/>
          </w:tcPr>
          <w:p>
            <w:pPr>
              <w:spacing w:after="0"/>
              <w:rPr>
                <w:sz w:val="1"/>
                <w:szCs w:val="1"/>
                <w:color w:val="auto"/>
              </w:rPr>
            </w:pPr>
          </w:p>
        </w:tc>
      </w:tr>
      <w:tr>
        <w:trPr>
          <w:trHeight w:val="177"/>
        </w:trPr>
        <w:tc>
          <w:tcPr>
            <w:tcW w:w="96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9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Payments made by the Company to The Coca-Cola Company for:</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Concentrate, syrup, sweetener and other purchases</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Customer marketing programs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noncontrolling interest in Piedmont Coca-Cola Bottling Partnership</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Cold drink equipment parts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Brand investment programs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Payments made by The Coca-Cola Company to the Company for:</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Marketing funding support payments</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Fountain delivery and equipment repair fees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Presence marketing funding support on the Company’s behalf</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Facilitating the distribution of certain brands and packages to other Coca-Cola bottlers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Transactions Involving The Coca-Cola Company</w:t>
      </w:r>
    </w:p>
    <w:p>
      <w:pPr>
        <w:spacing w:after="0" w:line="10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Piedmont Coca-Cola Bottling Partnership</w:t>
      </w:r>
      <w:r>
        <w:rPr>
          <w:rFonts w:ascii="Times New Roman" w:cs="Times New Roman" w:eastAsia="Times New Roman" w:hAnsi="Times New Roman"/>
          <w:sz w:val="18"/>
          <w:szCs w:val="18"/>
          <w:color w:val="auto"/>
        </w:rPr>
        <w:t>. The Company and The Coca-Cola Company formed Piedmont Coca-Cola Bottling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(“Piedmont”) in 1993 to distribute and market nonalcoholic beverage products primarily in portions of North Carolina and South Carolina. On December 9, 2020, an indirect wholly owned subsidiary of Coke Consolidated purchased the remaining 22.7% general partnership interest in Piedmont from an indirect wholly owned subsidiary of The Coca-Cola Company, and Piedmont became an indirect wholly owned subsidiary of the Company. Piedmont was subsequently merged with and into CCBCC Operations, LLC, a wholly owned subsidiary of Coke Consolidated, effective December 28, 2020.</w:t>
      </w:r>
    </w:p>
    <w:p>
      <w:pPr>
        <w:spacing w:after="0" w:line="7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Prior to Coke Consolidated’s purchase of the remaining general partnership interest in Piedmont, Coke Consolidated manufactured and packaged products for and managed Piedmont pursuant to a management agreement. Coke Consolidated received a management fee based on total case sales, reimbursement for out-of-pocket expenses and reimbursement for sales branch, divisional and other expenses. The management agreement was terminated in connection with the Company’s purchase of the remaining general partnership interest in Piedmont. During fiscal 2020, Coke Consolidated received management fees of $33.2 million from Piedmont. Coke Consolidated sold product at cost to Piedmont, which amounted to $138.9 million in fiscal 2020. Coke Consolidated also leased various fleet and vending equipment to Piedmont at cost, which amounted to $6.9 million in fiscal 2020.</w:t>
      </w:r>
    </w:p>
    <w:p>
      <w:pPr>
        <w:spacing w:after="0" w:line="7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Amended and Restated Stock Rights and Restrictions Agreement</w:t>
      </w:r>
      <w:r>
        <w:rPr>
          <w:rFonts w:ascii="Times New Roman" w:cs="Times New Roman" w:eastAsia="Times New Roman" w:hAnsi="Times New Roman"/>
          <w:sz w:val="18"/>
          <w:szCs w:val="18"/>
          <w:color w:val="auto"/>
        </w:rPr>
        <w:t>. On February 19, 2009, Coke Consolidated entered into an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rights and restrictions agreement (the “Amended and Restated Stock Rights and Restrictions Agreement”) with The Coca-Cola Company, Carolina Coca-Cola Bottling Investments, Inc. and J. Frank Harrison, III, the Company’s Chairman and CEO. In connection with entering into the Amended and Restated Stock Rights and Restrictions Agreement, The Coca-Cola Company converted all of its 497,670 shares of Coke Consolidated Class B Common Stock into an equivalent number of shares of Coke Consolidated Common Stock. The material terms of the Amended and Restated Stock Rights and Restrictions Agreement include the following:</w:t>
      </w:r>
    </w:p>
    <w:p>
      <w:pPr>
        <w:spacing w:after="0" w:line="92" w:lineRule="exact"/>
        <w:rPr>
          <w:sz w:val="20"/>
          <w:szCs w:val="20"/>
          <w:color w:val="auto"/>
        </w:rPr>
      </w:pPr>
    </w:p>
    <w:p>
      <w:pPr>
        <w:ind w:left="1080" w:hanging="532"/>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person or group controls more of Coke Consolidated’s voting power than is collectively controlled by J. Frank Harrison, III, the trustees under the will of the late J. Frank Harrison, Jr. and any trust that holds shares of Coke Consolidated stock for the benefit of the descendants of the late J. Frank Harrison, Jr. (collectively, the “Harrison Family”), The Coca-Cola Company will not acquire additional shares of Coke Consolidated stock without Coke Consolidated’s consent;</w:t>
      </w:r>
    </w:p>
    <w:p>
      <w:pPr>
        <w:spacing w:after="0" w:line="85" w:lineRule="exact"/>
        <w:rPr>
          <w:rFonts w:ascii="Times New Roman" w:cs="Times New Roman" w:eastAsia="Times New Roman" w:hAnsi="Times New Roman"/>
          <w:sz w:val="18"/>
          <w:szCs w:val="18"/>
          <w:color w:val="auto"/>
        </w:rPr>
      </w:pPr>
    </w:p>
    <w:p>
      <w:pPr>
        <w:ind w:left="1080" w:hanging="532"/>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person or group controls more of Coke Consolidated’s voting power than is controlled by the Harrison Family, the Company has a right of first refusal with respect to any proposed disposition by The Coca-Cola Company of shares of Coke Consolidated stock;</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Coca-Cola Company has certain registration rights with respect to shares of Coke Consolidated stock owned by it;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Coca-Cola Company holds the number of shares of Coke Consolidated stock that it currently owns, it has the right to have its designee proposed by the Company for nomination to the Board, and J. Frank Harrison, III and the trustees of certain trusts established for the benefit of members of the Harrison Family have agreed to vote shares of Coke Consolidated stock which they control in favor of such designee.</w:t>
      </w:r>
    </w:p>
    <w:p>
      <w:pPr>
        <w:spacing w:after="0" w:line="7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Amended and Restated Stock Rights and Restrictions Agreement also provides The Coca-Cola Company the option to exchange its 497,670 shares of Coke Consolidated Common Stock for an equivalent number of shares of Coke Consolidated Class B Common Stock in the event any person or group acquires control of more of Coke Consolidated’s voting power than is controlled by the Harrison Family.</w:t>
      </w:r>
    </w:p>
    <w:p>
      <w:pPr>
        <w:spacing w:after="0" w:line="6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Jennifer K. Mann has been The Coca-Cola Company’s designee on the Board since May 2017. Ms. Mann did not participate in discussions or votes by the Board relating to the System Transformation.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40"/>
          </w:cols>
          <w:pgMar w:left="320" w:top="455" w:right="5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Related Person Transactions</w:t>
      </w:r>
    </w:p>
    <w:p>
      <w:pPr>
        <w:spacing w:after="0" w:line="10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Coke Consolidated leases the Snyder Production Center and an adjacent sales facility in Charlotte, North Carolina from Harrison Limited Partnership One (“HLP”), which is directly and indirectly owned by trusts of which J. Frank Harrison, III, the Company’s Chairman and CEO, and Sue Anne H. Wells, a director of the Company, are trustees and beneficiaries and of which Morgan H. Everett, Vice Chair of the Board of Coke Consolidated, is a permissible, discretionary beneficiary. The lease agreement with HLP was approved by a special committee of the Board of Directors, the Audit Committee, as well as the remaining independent members of the Board who did not have an interest in the transaction. On June 30, 2020, Coke Consolidated entered into an amendment to this lease with HLP to extend the term of the lease agreement by 15 years from January 1, 2021 through December 31, 2035, with an option for the Company to further extend the term for an additional five years. Total payments under the amended lease agreement with HLP were $4.5 million in fiscal 2020. The principal balance outstanding under the amended financing lease as of December 31, 2020 was $61.9 million. The first amendment to lease agreement with HLP was approved by the Audit Committee and a special committee of the Board formed at the time to consider purchase, lease and other alternatives available to the Company in connection with the scheduled expiration of the lease agreement with HLP.</w:t>
      </w:r>
    </w:p>
    <w:p>
      <w:pPr>
        <w:spacing w:after="0" w:line="8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Coke Consolidated leases its headquarters office facility and an adjacent office facility in Charlotte, North Carolina from Beacon Investment Corporation (“Beacon”), of which J. Frank Harrison, III is the majority stockholder and Morgan H. Everett is a minority stockholder. On December 30, 2019, Coke Consolidated entered into a new lease agreement with Beacon for a 10-year term from January 1, 2020 through December 31, 2029, with an option for the Company to renew the lease agreement for two successive terms of five years each. Total payments under the new lease agreement with Beacon were $3.3 million in fiscal 2020. The principal balance outstanding under the new operating lease as of December 31, 2020 was $30.8 million. The new lease agreement was approved by the Audit Committee and a special committee of the Board formed at the time to consider purchase, lease and other alternatives available to the Company in connection with the scheduled expiration of the prior lease agreement with Beacon.</w:t>
      </w:r>
    </w:p>
    <w:p>
      <w:pPr>
        <w:spacing w:after="0" w:line="81"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Morgan H. Everett, Vice Chair of the Board of Coke Consolidated, is the daughter of J. Frank Harrison, III, the Company’s Chairman and CEO. During fiscal 2020, Ms. Everett received total compensation of $726,493. Ellison C. Glenn, Vice President, Sales and Service for the Carolinas Market Unit at Coke Consolidated, is the son-in-law of Mr. Harrison. During fiscal 2020, Mr. Glenn received total compensation of $201,965. The compensation for Ms. Everett and Mr. Glenn was established by the Company in accordance with its employment and compensation practices applicable to employees with equivalent qualifications and responsibilities and holding similar positions. The Compensation Committee, which is comprised entirely of independent directors, reviewed and approved the compensation paid to Ms. Everett and Mr. Glenn during fiscal 2020. Mr. Harrison does not have a financial interest in the Company’s employment relationship with Ms. Everett or Mr. Glenn, nor does he share a home with either of them.</w:t>
      </w:r>
    </w:p>
    <w:p>
      <w:pPr>
        <w:spacing w:after="0" w:line="6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trusts of which J. Frank Harrison, III and Sue Anne H. Wells are trustees and beneficiaries and Morgan H. Everett is a permissible, discretionary beneficiary have the right to acquire 292,386 shares of Class B Common Stock from Coke Consolidated in exchange for an equal number of shares of Common Stock. In the event of such an exchange, Mr. Harrison would have sole voting and investment power over the shares of Class B Common Stock acquired. The trusts do not own any shares of Common Stock with which to make the exchange, and any purchase of Common Stock would require approval by the trustees of the trusts.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Board’s Role in Risk Oversight</w:t>
      </w:r>
    </w:p>
    <w:p>
      <w:pPr>
        <w:spacing w:after="0" w:line="11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is responsible for managing the risks that Coke Consolidated faces. The Board of Directors is responsible for overseeing management’s approach to risk management. The involvement of the full Board in reviewing the Company’s strategic objectives and plans is a key part of the Board’s assessment of management’s approach and tolerance to risk. While the Board of Directors has ultimate oversight responsibility for overseeing management’s risk management process, various committees of the Board assist it in fulfilling that responsibility.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Audit Committee assists the Board in its oversight of risk management in the areas of financial reporting, internal controls and compliance with legal and regulatory requirements. The Compensation Committee assists the Board in its oversight of the evaluation and management of risks related to Coke Consolidated’s compensation policies and practices.</w:t>
      </w:r>
    </w:p>
    <w:p>
      <w:pPr>
        <w:spacing w:after="0" w:line="6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believes that this division of responsibilities is the most effective risk management approach and that the Board leadership structure supports this approach. With his in-depth knowledge and understanding of Coke Consolidated’s business gained from his more than 40 years of employment with the Company and his position as the Controlling Stockholder and a member of the founding family of Coke Consolidated, Mr. Harrison is uniquely positioned to lead the Board, particularly as it focuses on identifying and managing the key strategic risks facing the Company.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11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Stockholders and other interested parties can communicate directly with any of the Company’s directors by sending a written communication to a director at Coca-Cola Consolidated, Inc. c/o Secretary, 4100 Coca-Cola Plaza, Charlotte, North Carolina 28211. Stockholders and other interested parties wishing to communicate with Dennis A. Wicker, as Lead Independent Director, or with the non-employee directors as a group may do so by sending a written communication to Mr. Wicker at the above address. All communications received in accordance with these procedures will be promptly reviewed by the Company’s Secretary before being forwarded to the appropriate director or directors. The Company generally will not forward to directors a communication that the Secretary determines to be primarily commercial in nature, relates to an improper or irrelevant topic or requests general information about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Director Compensation</w:t>
      </w:r>
    </w:p>
    <w:p>
      <w:pPr>
        <w:spacing w:after="0" w:line="13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table below sets forth the compensation paid to each non-employee director who served on the Board of Directors in fiscal 2020. Directors who are also employees of Coke Consolidated (in fiscal 2020, Messrs. J. Frank Harrison, III, Henry W. Flint (until his retirement from employment with, and as a director of, the Company, effective December 31, 2019), Umesh M. Kasbekar (until his retirement from employment with the Company, effective July 5, 2020) and David M. Katz and Ms. Morgan H. Everett) do not receive compensation (other than their compensation as employees of the Company) for their service on the Board.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Director Compensation Table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Fees Earned or</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Paid in Cash</w:t>
            </w:r>
          </w:p>
        </w:tc>
        <w:tc>
          <w:tcPr>
            <w:tcW w:w="116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Compensation</w:t>
            </w:r>
          </w:p>
        </w:tc>
        <w:tc>
          <w:tcPr>
            <w:tcW w:w="1040" w:type="dxa"/>
            <w:vAlign w:val="bottom"/>
            <w:gridSpan w:val="2"/>
          </w:tcPr>
          <w:p>
            <w:pPr>
              <w:ind w:left="34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7640" w:type="dxa"/>
            <w:vAlign w:val="bottom"/>
            <w:gridSpan w:val="2"/>
            <w:vMerge w:val="continue"/>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Sharon A. Decker</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180,900</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R. Helvey,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177,700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H. Jones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Umesh M. Kasbekar</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Jennifer K. Mann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H. Morgan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200,500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W. Murrey, III</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Sue Anne H. Wells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Dennis A. Wicker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T. Williams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163,200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ind w:left="880" w:right="20" w:hanging="764"/>
        <w:spacing w:after="0" w:line="254" w:lineRule="auto"/>
        <w:tabs>
          <w:tab w:leader="none" w:pos="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shown in this column represent the aggregate amounts of all fees earned or paid in cash for services as a director in fiscal 2020. In August 2018, the Board of Directors formed a special committee of the Board, composed of Messrs. Helvey, Jones, Morgan and Wicker and Ms. Decker (all of whom are independent and disinterested members of the Board), to consider purchase, lease and other alternatives available to the Company in connection with the scheduled expiration of the Company’s leases (i) with HLP relating to the Snyder Production Center and an adjacent sales facility in Charlotte, North Carolina and (ii) with Beacon relating to the Company’s headquarters office facility and an adjacent office facility in Charlotte, North Carolina. In fiscal 2020, the Company paid each committee member $6,500 for his or her consideration of the amendment of or alternatives to the Company’s lease with HLP. These fees are included in this column. See “Corporate Governance—Related Person Transactions—Other Related Person Transactions” for additional information regarding the leases with HLP and Beacon.</w:t>
      </w:r>
    </w:p>
    <w:p>
      <w:pPr>
        <w:spacing w:after="0" w:line="93" w:lineRule="exact"/>
        <w:rPr>
          <w:rFonts w:ascii="Times New Roman" w:cs="Times New Roman" w:eastAsia="Times New Roman" w:hAnsi="Times New Roman"/>
          <w:sz w:val="15"/>
          <w:szCs w:val="15"/>
          <w:color w:val="auto"/>
        </w:rPr>
      </w:pPr>
    </w:p>
    <w:p>
      <w:pPr>
        <w:ind w:left="880" w:right="60" w:hanging="764"/>
        <w:spacing w:after="0" w:line="258" w:lineRule="auto"/>
        <w:tabs>
          <w:tab w:leader="none" w:pos="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Kasbekar retired from employment with the Company, effective July 5, 2020, and did not receive compensation (other than his compensation as an employee of the Company) for his service on the Board prior to his retirement. The amount shown in the “Fees Earned or Paid in Cash” column represents the fees Mr. Kasbekar earned for his service on the Board after he retired as an employee. Mr. Kasbekar has served as a consultant to the Company since his retirement. The amount shown in the “All Other Compensation” column represents the fees Mr. Kasbekar earned for the advisory and consulting services he provided to the Company after his retirement.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elements of compensation for the Company’s non-employee directors are as follows: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Annual Retainer for All Non-Employee Directors</w:t>
            </w:r>
          </w:p>
        </w:tc>
        <w:tc>
          <w:tcPr>
            <w:tcW w:w="5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Annual Retainer for Chairman of the Audit Committee</w:t>
            </w: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0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Annual Retainer for Chairman of the Compensation Committee</w:t>
            </w:r>
          </w:p>
        </w:tc>
        <w:tc>
          <w:tcPr>
            <w:tcW w:w="5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Annual Retainer for Lead Independent Director</w:t>
            </w: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 for Each Audit, Compensation and Executive Committee Meeting Attended</w:t>
            </w:r>
          </w:p>
        </w:tc>
        <w:tc>
          <w:tcPr>
            <w:tcW w:w="5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365"/>
        </w:trPr>
        <w:tc>
          <w:tcPr>
            <w:tcW w:w="5300" w:type="dxa"/>
            <w:vAlign w:val="bottom"/>
          </w:tcPr>
          <w:p>
            <w:pPr>
              <w:spacing w:after="0"/>
              <w:rPr>
                <w:sz w:val="24"/>
                <w:szCs w:val="24"/>
                <w:color w:val="auto"/>
              </w:rPr>
            </w:pPr>
          </w:p>
        </w:tc>
        <w:tc>
          <w:tcPr>
            <w:tcW w:w="5720" w:type="dxa"/>
            <w:vAlign w:val="bottom"/>
          </w:tcPr>
          <w:p>
            <w:pPr>
              <w:jc w:val="right"/>
              <w:ind w:right="5338"/>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approves the compensation of the members of the Board. In approving annual director compensation, the Compensation Committee considers recommendations of management and approves the recommendations with such modifications as the committee deems appropriate.</w:t>
      </w:r>
    </w:p>
    <w:p>
      <w:pPr>
        <w:spacing w:after="0" w:line="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Coca-Cola Consolidated, Inc. (formerly Coca-Cola Bottling Co. Consolidated) Director Deferral Plan, non-employee directors may defer payment of all or a portion of their annual retainer and meeting fees until they no longer serve on the Board. Deferred fees are deemed to be invested in mutual funds selected by the directors from a predetermined list of funds. For fees deferred after 2013, a director may elect to receive a cash lump sum payment or cash installment payments after the director retires or resigns. The amount of each installment payment is based on the return on the selected investment fund(s) during the installment payment period. Fees deferred prior to 2014 are paid in a cash lump sum payment if the director’s service on the Board terminates prior to age 65. If the director retires at or after age 65, the director may elect to receive a cash lump sum payment or cash installment payments of fees deferred prior to 2014, with the amount of each installment payment based on an assumed return of 8% during the installment payment period.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3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This section explains Coke Consolidated’s executive compensation program as it relates to the following executive officers (the “named executive officers”) of the Company:</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 Frank Harrison, III</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 Scott Anthony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David M. Katz</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Robert G. Chambless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 Beauregarde Fisher III</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Franchise Beverage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99" w:lineRule="exact"/>
        <w:rPr>
          <w:sz w:val="20"/>
          <w:szCs w:val="20"/>
          <w:color w:val="auto"/>
        </w:rPr>
      </w:pPr>
    </w:p>
    <w:p>
      <w:pPr>
        <w:sectPr>
          <w:pgSz w:w="11900" w:h="16838" w:orient="portrait"/>
          <w:cols w:equalWidth="0" w:num="2">
            <w:col w:w="2680" w:space="720"/>
            <w:col w:w="7700"/>
          </w:cols>
          <w:pgMar w:left="320" w:top="455" w:right="479" w:bottom="1440" w:gutter="0" w:footer="0" w:header="0"/>
          <w:type w:val="continuous"/>
        </w:sect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This discussion includes statements regarding financial and operating performance targets in the limited context of the Company’s executive compensation program. Investors should not evaluate these statements in any other context. These statements are not statements of management’s expectations of future results or guidance.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Summary</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goals for the Company’s executive compensation program are to provide compensation that is:</w:t>
      </w:r>
    </w:p>
    <w:p>
      <w:pPr>
        <w:spacing w:after="0" w:line="131"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to attract and retain appropriate executive talent;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affordable and appropriately aligned with stockholder interests;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equitable and consistent as to each component of compensation;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motivate the executive officers to achieve the Company’s annual and long-term strategic goals and to reward performance based on the attainment of those goals;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appropriately balance risk and reward in the context of the Company’s business environment and long-range business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consider individual value and contribution to the Company’s success;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balanced across types and purposes of compensation, particularly with respect to fixed compensation objectives, short-term and long-term performance-based objectives and retention and retirement objectives;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sensitive to, but not exclusively reliant upon, market benchmarks;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responsive to the Company’s succession planning objectives.</w:t>
      </w:r>
    </w:p>
    <w:p>
      <w:pPr>
        <w:spacing w:after="0" w:line="11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(referred to as the “Committee” in this section and the “Executive Compensation Tables” section) seeks to accomplish these goals in a way that is consistent with the purpose and core values of the Company and the long-term interests of the Company and its stockholders and employees.</w:t>
      </w:r>
    </w:p>
    <w:p>
      <w:pPr>
        <w:spacing w:after="0" w:line="6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making decisions about executive compensation, the Committee relies primarily on its general experience and subjective considerations of various factors, including the Company’s strategic business goals, compensation survey data and each executive officer’s position, experience, level of responsibility, individual job performance, contributions to the Company’s corporate performance, job tenure and future potential. The Committee does not set specific targets or benchmarks for overall compensation or for allocations between different elements and types of compensation.</w:t>
      </w:r>
    </w:p>
    <w:p>
      <w:pPr>
        <w:spacing w:after="0" w:line="7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Committee oversees the compensation program for the Company’s executive officers with the assistance of senior management. The Committee reviews, approves and determines all elements of compensation for each executive officer.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lists the key elements of the Company’s 2020 executive compensation program:</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Elements of 2020 Executive Compensation Program</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860" w:type="dxa"/>
            <w:vAlign w:val="bottom"/>
          </w:tcPr>
          <w:p>
            <w:pPr>
              <w:spacing w:after="0"/>
              <w:rPr>
                <w:sz w:val="20"/>
                <w:szCs w:val="20"/>
                <w:color w:val="auto"/>
              </w:rPr>
            </w:pPr>
            <w:r>
              <w:rPr>
                <w:rFonts w:ascii="Arial" w:cs="Arial" w:eastAsia="Arial" w:hAnsi="Arial"/>
                <w:sz w:val="14"/>
                <w:szCs w:val="14"/>
                <w:b w:val="1"/>
                <w:bCs w:val="1"/>
                <w:color w:val="auto"/>
              </w:rPr>
              <w:t>Element</w:t>
            </w:r>
          </w:p>
        </w:tc>
        <w:tc>
          <w:tcPr>
            <w:tcW w:w="220" w:type="dxa"/>
            <w:vAlign w:val="bottom"/>
          </w:tcPr>
          <w:p>
            <w:pPr>
              <w:spacing w:after="0"/>
              <w:rPr>
                <w:sz w:val="16"/>
                <w:szCs w:val="16"/>
                <w:color w:val="auto"/>
              </w:rPr>
            </w:pPr>
          </w:p>
        </w:tc>
        <w:tc>
          <w:tcPr>
            <w:tcW w:w="3740" w:type="dxa"/>
            <w:vAlign w:val="bottom"/>
            <w:gridSpan w:val="2"/>
          </w:tcPr>
          <w:p>
            <w:pPr>
              <w:ind w:left="138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Pr>
          <w:p>
            <w:pPr>
              <w:ind w:left="1320"/>
              <w:spacing w:after="0"/>
              <w:rPr>
                <w:sz w:val="20"/>
                <w:szCs w:val="20"/>
                <w:color w:val="auto"/>
              </w:rPr>
            </w:pPr>
            <w:r>
              <w:rPr>
                <w:rFonts w:ascii="Arial" w:cs="Arial" w:eastAsia="Arial" w:hAnsi="Arial"/>
                <w:sz w:val="14"/>
                <w:szCs w:val="14"/>
                <w:b w:val="1"/>
                <w:bCs w:val="1"/>
                <w:color w:val="auto"/>
              </w:rPr>
              <w:t>Purpose</w:t>
            </w:r>
          </w:p>
        </w:tc>
      </w:tr>
      <w:tr>
        <w:trPr>
          <w:trHeight w:val="182"/>
        </w:trPr>
        <w:tc>
          <w:tcPr>
            <w:tcW w:w="38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Base Salaries</w:t>
            </w:r>
          </w:p>
        </w:tc>
        <w:tc>
          <w:tcPr>
            <w:tcW w:w="220" w:type="dxa"/>
            <w:vAlign w:val="bottom"/>
            <w:tcBorders>
              <w:top w:val="single" w:sz="8" w:color="CCEEFF"/>
            </w:tcBorders>
            <w:shd w:val="clear" w:color="auto" w:fill="CCEEFF"/>
          </w:tcPr>
          <w:p>
            <w:pPr>
              <w:spacing w:after="0"/>
              <w:rPr>
                <w:sz w:val="15"/>
                <w:szCs w:val="15"/>
                <w:color w:val="auto"/>
              </w:rPr>
            </w:pPr>
          </w:p>
        </w:tc>
        <w:tc>
          <w:tcPr>
            <w:tcW w:w="35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Fixed cash compensation based on position,</w:t>
            </w:r>
          </w:p>
        </w:tc>
        <w:tc>
          <w:tcPr>
            <w:tcW w:w="2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Provide a fixed, baseline level of cash</w:t>
            </w:r>
          </w:p>
        </w:tc>
      </w:tr>
      <w:tr>
        <w:trPr>
          <w:trHeight w:val="203"/>
        </w:trPr>
        <w:tc>
          <w:tcPr>
            <w:tcW w:w="3860" w:type="dxa"/>
            <w:vAlign w:val="bottom"/>
            <w:shd w:val="clear" w:color="auto" w:fill="CCEEFF"/>
          </w:tcPr>
          <w:p>
            <w:pPr>
              <w:spacing w:after="0"/>
              <w:rPr>
                <w:sz w:val="17"/>
                <w:szCs w:val="17"/>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experience, level of responsibility, individual job</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r>
      <w:tr>
        <w:trPr>
          <w:trHeight w:val="203"/>
        </w:trPr>
        <w:tc>
          <w:tcPr>
            <w:tcW w:w="3860" w:type="dxa"/>
            <w:vAlign w:val="bottom"/>
            <w:shd w:val="clear" w:color="auto" w:fill="CCEEFF"/>
          </w:tcPr>
          <w:p>
            <w:pPr>
              <w:spacing w:after="0"/>
              <w:rPr>
                <w:sz w:val="17"/>
                <w:szCs w:val="17"/>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performance, contributions to the Company’s</w:t>
            </w:r>
          </w:p>
        </w:tc>
        <w:tc>
          <w:tcPr>
            <w:tcW w:w="3200" w:type="dxa"/>
            <w:vAlign w:val="bottom"/>
            <w:shd w:val="clear" w:color="auto" w:fill="CCEEFF"/>
          </w:tcPr>
          <w:p>
            <w:pPr>
              <w:spacing w:after="0"/>
              <w:rPr>
                <w:sz w:val="17"/>
                <w:szCs w:val="17"/>
                <w:color w:val="auto"/>
              </w:rPr>
            </w:pPr>
          </w:p>
        </w:tc>
      </w:tr>
      <w:tr>
        <w:trPr>
          <w:trHeight w:val="203"/>
        </w:trPr>
        <w:tc>
          <w:tcPr>
            <w:tcW w:w="3860" w:type="dxa"/>
            <w:vAlign w:val="bottom"/>
            <w:shd w:val="clear" w:color="auto" w:fill="CCEEFF"/>
          </w:tcPr>
          <w:p>
            <w:pPr>
              <w:spacing w:after="0"/>
              <w:rPr>
                <w:sz w:val="17"/>
                <w:szCs w:val="17"/>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performance, job tenure and future</w:t>
            </w:r>
          </w:p>
        </w:tc>
        <w:tc>
          <w:tcPr>
            <w:tcW w:w="3200" w:type="dxa"/>
            <w:vAlign w:val="bottom"/>
            <w:shd w:val="clear" w:color="auto" w:fill="CCEEFF"/>
          </w:tcPr>
          <w:p>
            <w:pPr>
              <w:spacing w:after="0"/>
              <w:rPr>
                <w:sz w:val="17"/>
                <w:szCs w:val="17"/>
                <w:color w:val="auto"/>
              </w:rPr>
            </w:pPr>
          </w:p>
        </w:tc>
      </w:tr>
      <w:tr>
        <w:trPr>
          <w:trHeight w:val="216"/>
        </w:trPr>
        <w:tc>
          <w:tcPr>
            <w:tcW w:w="38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potential.</w:t>
            </w:r>
          </w:p>
        </w:tc>
        <w:tc>
          <w:tcPr>
            <w:tcW w:w="3200" w:type="dxa"/>
            <w:vAlign w:val="bottom"/>
            <w:shd w:val="clear" w:color="auto" w:fill="CCEEFF"/>
          </w:tcPr>
          <w:p>
            <w:pPr>
              <w:spacing w:after="0"/>
              <w:rPr>
                <w:sz w:val="18"/>
                <w:szCs w:val="18"/>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Annual Bonus Plan</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Cash payment tied to performance during the fiscal</w:t>
            </w: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Motivate executive officers to achieve the</w:t>
            </w:r>
          </w:p>
        </w:tc>
      </w:tr>
      <w:tr>
        <w:trPr>
          <w:trHeight w:val="213"/>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year.</w:t>
            </w: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Company’s annual strategic and financial goals.</w:t>
            </w:r>
          </w:p>
        </w:tc>
      </w:tr>
      <w:tr>
        <w:trPr>
          <w:trHeight w:val="19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Performance Plan</w:t>
            </w: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payment tied to performance over a three-year</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Promote retention and motivate executive</w:t>
            </w:r>
          </w:p>
        </w:tc>
      </w:tr>
      <w:tr>
        <w:trPr>
          <w:trHeight w:val="203"/>
        </w:trPr>
        <w:tc>
          <w:tcPr>
            <w:tcW w:w="3860" w:type="dxa"/>
            <w:vAlign w:val="bottom"/>
            <w:shd w:val="clear" w:color="auto" w:fill="CCEEFF"/>
          </w:tcPr>
          <w:p>
            <w:pPr>
              <w:spacing w:after="0"/>
              <w:rPr>
                <w:sz w:val="17"/>
                <w:szCs w:val="17"/>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performance period. The CEO does not participate in</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officers to achieve the Company’s long-term</w:t>
            </w:r>
          </w:p>
        </w:tc>
      </w:tr>
      <w:tr>
        <w:trPr>
          <w:trHeight w:val="216"/>
        </w:trPr>
        <w:tc>
          <w:tcPr>
            <w:tcW w:w="38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this plan.</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strategic and financial goals.</w:t>
            </w: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tabs>
          <w:tab w:leader="none" w:pos="4180" w:val="left"/>
        </w:tabs>
        <w:rPr>
          <w:sz w:val="20"/>
          <w:szCs w:val="20"/>
          <w:color w:val="auto"/>
        </w:rPr>
      </w:pPr>
      <w:r>
        <w:rPr>
          <w:rFonts w:ascii="Times New Roman" w:cs="Times New Roman" w:eastAsia="Times New Roman" w:hAnsi="Times New Roman"/>
          <w:sz w:val="16"/>
          <w:szCs w:val="16"/>
          <w:color w:val="auto"/>
        </w:rPr>
        <w:t>Long-Term Performance Equity Plan</w:t>
      </w:r>
      <w:r>
        <w:rPr>
          <w:sz w:val="20"/>
          <w:szCs w:val="20"/>
          <w:color w:val="auto"/>
        </w:rPr>
        <w:tab/>
      </w:r>
      <w:r>
        <w:rPr>
          <w:rFonts w:ascii="Times New Roman" w:cs="Times New Roman" w:eastAsia="Times New Roman" w:hAnsi="Times New Roman"/>
          <w:sz w:val="16"/>
          <w:szCs w:val="16"/>
          <w:color w:val="auto"/>
        </w:rPr>
        <w:t>Incentive awards granted to the CEO with payouts</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based on the Company’s achievement of specified</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performance goals during the applicable performance</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period. Awards settled in cash, shares of Coke</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Consolidated Class B Common Stock or a</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combination of cash and shares of Coke Consolidated</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Class B Common Stock.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16"/>
          <w:szCs w:val="16"/>
          <w:color w:val="auto"/>
        </w:rPr>
        <w:t>Promote the best interests of the Company and its stockholders by providing the CEO with incentive compensation linked to the Company’s achievement of its long-term strategic and financial goals.</w:t>
      </w:r>
    </w:p>
    <w:p>
      <w:pPr>
        <w:spacing w:after="0" w:line="394" w:lineRule="exact"/>
        <w:rPr>
          <w:sz w:val="20"/>
          <w:szCs w:val="20"/>
          <w:color w:val="auto"/>
        </w:rPr>
      </w:pPr>
    </w:p>
    <w:p>
      <w:pPr>
        <w:sectPr>
          <w:pgSz w:w="11900" w:h="16838" w:orient="portrait"/>
          <w:cols w:equalWidth="0" w:num="2">
            <w:col w:w="7700" w:space="240"/>
            <w:col w:w="32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 Retention Plan</w:t>
            </w:r>
          </w:p>
        </w:tc>
        <w:tc>
          <w:tcPr>
            <w:tcW w:w="46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Supplemental defined benefit plan providing</w:t>
            </w:r>
          </w:p>
        </w:tc>
        <w:tc>
          <w:tcPr>
            <w:tcW w:w="3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Promote retention of executive officers hired</w:t>
            </w:r>
          </w:p>
        </w:tc>
      </w:tr>
      <w:tr>
        <w:trPr>
          <w:trHeight w:val="203"/>
        </w:trPr>
        <w:tc>
          <w:tcPr>
            <w:tcW w:w="2780" w:type="dxa"/>
            <w:vAlign w:val="bottom"/>
            <w:shd w:val="clear" w:color="auto" w:fill="CCEEFF"/>
          </w:tcPr>
          <w:p>
            <w:pPr>
              <w:spacing w:after="0"/>
              <w:rPr>
                <w:sz w:val="17"/>
                <w:szCs w:val="17"/>
                <w:color w:val="auto"/>
              </w:rPr>
            </w:pPr>
          </w:p>
        </w:tc>
        <w:tc>
          <w:tcPr>
            <w:tcW w:w="46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retirement and severance benefits.</w:t>
            </w:r>
          </w:p>
        </w:tc>
        <w:tc>
          <w:tcPr>
            <w:tcW w:w="3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prior to March 2014 with a long-term</w:t>
            </w:r>
          </w:p>
        </w:tc>
      </w:tr>
      <w:tr>
        <w:trPr>
          <w:trHeight w:val="216"/>
        </w:trPr>
        <w:tc>
          <w:tcPr>
            <w:tcW w:w="27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perspective.</w:t>
            </w: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ind w:left="120"/>
        <w:spacing w:after="0"/>
        <w:tabs>
          <w:tab w:leader="none" w:pos="4180" w:val="left"/>
        </w:tabs>
        <w:rPr>
          <w:sz w:val="20"/>
          <w:szCs w:val="20"/>
          <w:color w:val="auto"/>
        </w:rPr>
      </w:pPr>
      <w:r>
        <w:rPr>
          <w:rFonts w:ascii="Times New Roman" w:cs="Times New Roman" w:eastAsia="Times New Roman" w:hAnsi="Times New Roman"/>
          <w:sz w:val="16"/>
          <w:szCs w:val="16"/>
          <w:color w:val="auto"/>
        </w:rPr>
        <w:t>Long-Term Retention Plan</w:t>
      </w:r>
      <w:r>
        <w:rPr>
          <w:sz w:val="20"/>
          <w:szCs w:val="20"/>
          <w:color w:val="auto"/>
        </w:rPr>
        <w:tab/>
      </w:r>
      <w:r>
        <w:rPr>
          <w:rFonts w:ascii="Times New Roman" w:cs="Times New Roman" w:eastAsia="Times New Roman" w:hAnsi="Times New Roman"/>
          <w:sz w:val="16"/>
          <w:szCs w:val="16"/>
          <w:color w:val="auto"/>
        </w:rPr>
        <w:t>Supplemental defined contribution plan providing</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retirement and severance benefits.</w:t>
      </w:r>
    </w:p>
    <w:p>
      <w:pPr>
        <w:spacing w:after="0" w:line="20" w:lineRule="exact"/>
        <w:rPr>
          <w:sz w:val="20"/>
          <w:szCs w:val="20"/>
          <w:color w:val="auto"/>
        </w:rPr>
      </w:pPr>
      <w:r>
        <w:rPr>
          <w:sz w:val="20"/>
          <w:szCs w:val="20"/>
          <w:color w:val="auto"/>
        </w:rPr>
        <w:br w:type="column"/>
      </w:r>
    </w:p>
    <w:p>
      <w:pPr>
        <w:ind w:right="220"/>
        <w:spacing w:after="0" w:line="273" w:lineRule="auto"/>
        <w:rPr>
          <w:sz w:val="20"/>
          <w:szCs w:val="20"/>
          <w:color w:val="auto"/>
        </w:rPr>
      </w:pPr>
      <w:r>
        <w:rPr>
          <w:rFonts w:ascii="Times New Roman" w:cs="Times New Roman" w:eastAsia="Times New Roman" w:hAnsi="Times New Roman"/>
          <w:sz w:val="16"/>
          <w:szCs w:val="16"/>
          <w:color w:val="auto"/>
        </w:rPr>
        <w:t>Attract executive talent and promote retention with a long-term perspective.</w:t>
      </w:r>
    </w:p>
    <w:p>
      <w:pPr>
        <w:spacing w:after="0" w:line="1" w:lineRule="exact"/>
        <w:rPr>
          <w:sz w:val="20"/>
          <w:szCs w:val="20"/>
          <w:color w:val="auto"/>
        </w:rPr>
      </w:pPr>
    </w:p>
    <w:p>
      <w:pPr>
        <w:sectPr>
          <w:pgSz w:w="11900" w:h="16838" w:orient="portrait"/>
          <w:cols w:equalWidth="0" w:num="2">
            <w:col w:w="7440" w:space="500"/>
            <w:col w:w="32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75"/>
        </w:trPr>
        <w:tc>
          <w:tcPr>
            <w:tcW w:w="32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Supplemental Savings Incentive Plan</w:t>
            </w:r>
          </w:p>
        </w:tc>
        <w:tc>
          <w:tcPr>
            <w:tcW w:w="4460" w:type="dxa"/>
            <w:vAlign w:val="bottom"/>
            <w:shd w:val="clear" w:color="auto" w:fill="CCEEFF"/>
          </w:tcPr>
          <w:p>
            <w:pPr>
              <w:ind w:left="840"/>
              <w:spacing w:after="0" w:line="175" w:lineRule="exact"/>
              <w:rPr>
                <w:sz w:val="20"/>
                <w:szCs w:val="20"/>
                <w:color w:val="auto"/>
              </w:rPr>
            </w:pPr>
            <w:r>
              <w:rPr>
                <w:rFonts w:ascii="Times New Roman" w:cs="Times New Roman" w:eastAsia="Times New Roman" w:hAnsi="Times New Roman"/>
                <w:sz w:val="16"/>
                <w:szCs w:val="16"/>
                <w:color w:val="auto"/>
              </w:rPr>
              <w:t>Supplemental deferred compensation plan enabling</w:t>
            </w:r>
          </w:p>
        </w:tc>
        <w:tc>
          <w:tcPr>
            <w:tcW w:w="33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Promote retention, encourage executive officers</w:t>
            </w:r>
          </w:p>
        </w:tc>
      </w:tr>
      <w:tr>
        <w:trPr>
          <w:trHeight w:val="203"/>
        </w:trPr>
        <w:tc>
          <w:tcPr>
            <w:tcW w:w="3240" w:type="dxa"/>
            <w:vAlign w:val="bottom"/>
            <w:shd w:val="clear" w:color="auto" w:fill="CCEEFF"/>
          </w:tcPr>
          <w:p>
            <w:pPr>
              <w:spacing w:after="0"/>
              <w:rPr>
                <w:sz w:val="17"/>
                <w:szCs w:val="17"/>
                <w:color w:val="auto"/>
              </w:rPr>
            </w:pPr>
          </w:p>
        </w:tc>
        <w:tc>
          <w:tcPr>
            <w:tcW w:w="4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executive officers to defer a portion of their annual</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save for retirement and provide retirement</w:t>
            </w:r>
          </w:p>
        </w:tc>
      </w:tr>
      <w:tr>
        <w:trPr>
          <w:trHeight w:val="202"/>
        </w:trPr>
        <w:tc>
          <w:tcPr>
            <w:tcW w:w="3240" w:type="dxa"/>
            <w:vAlign w:val="bottom"/>
            <w:shd w:val="clear" w:color="auto" w:fill="CCEEFF"/>
          </w:tcPr>
          <w:p>
            <w:pPr>
              <w:spacing w:after="0"/>
              <w:rPr>
                <w:sz w:val="17"/>
                <w:szCs w:val="17"/>
                <w:color w:val="auto"/>
              </w:rPr>
            </w:pPr>
          </w:p>
        </w:tc>
        <w:tc>
          <w:tcPr>
            <w:tcW w:w="4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salary and of their awards under the Annual Bonus</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savings in a tax-efficient manner.</w:t>
            </w:r>
          </w:p>
        </w:tc>
      </w:tr>
      <w:tr>
        <w:trPr>
          <w:trHeight w:val="203"/>
        </w:trPr>
        <w:tc>
          <w:tcPr>
            <w:tcW w:w="3240" w:type="dxa"/>
            <w:vAlign w:val="bottom"/>
            <w:shd w:val="clear" w:color="auto" w:fill="CCEEFF"/>
          </w:tcPr>
          <w:p>
            <w:pPr>
              <w:spacing w:after="0"/>
              <w:rPr>
                <w:sz w:val="17"/>
                <w:szCs w:val="17"/>
                <w:color w:val="auto"/>
              </w:rPr>
            </w:pPr>
          </w:p>
        </w:tc>
        <w:tc>
          <w:tcPr>
            <w:tcW w:w="4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Plan, the Long-Term Performance Plan and the Long-</w:t>
            </w:r>
          </w:p>
        </w:tc>
        <w:tc>
          <w:tcPr>
            <w:tcW w:w="332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spacing w:after="0"/>
              <w:rPr>
                <w:sz w:val="18"/>
                <w:szCs w:val="18"/>
                <w:color w:val="auto"/>
              </w:rPr>
            </w:pPr>
          </w:p>
        </w:tc>
        <w:tc>
          <w:tcPr>
            <w:tcW w:w="4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Term Performance Equity Plan.</w:t>
            </w:r>
          </w:p>
        </w:tc>
        <w:tc>
          <w:tcPr>
            <w:tcW w:w="33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ind w:left="120"/>
        <w:spacing w:after="0"/>
        <w:tabs>
          <w:tab w:leader="none" w:pos="4180" w:val="left"/>
        </w:tabs>
        <w:rPr>
          <w:sz w:val="20"/>
          <w:szCs w:val="20"/>
          <w:color w:val="auto"/>
        </w:rPr>
      </w:pPr>
      <w:r>
        <w:rPr>
          <w:rFonts w:ascii="Times New Roman" w:cs="Times New Roman" w:eastAsia="Times New Roman" w:hAnsi="Times New Roman"/>
          <w:sz w:val="16"/>
          <w:szCs w:val="16"/>
          <w:color w:val="auto"/>
        </w:rPr>
        <w:t>Other Benefits and Executive Compensation Policies</w:t>
      </w:r>
      <w:r>
        <w:rPr>
          <w:sz w:val="20"/>
          <w:szCs w:val="20"/>
          <w:color w:val="auto"/>
        </w:rPr>
        <w:tab/>
      </w:r>
      <w:r>
        <w:rPr>
          <w:rFonts w:ascii="Times New Roman" w:cs="Times New Roman" w:eastAsia="Times New Roman" w:hAnsi="Times New Roman"/>
          <w:sz w:val="16"/>
          <w:szCs w:val="16"/>
          <w:color w:val="auto"/>
        </w:rPr>
        <w:t>Premiums paid for long-term disability and life</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insurance, annual executive allowance, personal use</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of corporate aircraft, and income and employment tax</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gross-ups.</w:t>
      </w:r>
    </w:p>
    <w:p>
      <w:pPr>
        <w:spacing w:after="0" w:line="20" w:lineRule="exact"/>
        <w:rPr>
          <w:sz w:val="20"/>
          <w:szCs w:val="20"/>
          <w:color w:val="auto"/>
        </w:rPr>
      </w:pPr>
      <w:r>
        <w:rPr>
          <w:sz w:val="20"/>
          <w:szCs w:val="20"/>
          <w:color w:val="auto"/>
        </w:rPr>
        <w:br w:type="column"/>
      </w:r>
    </w:p>
    <w:p>
      <w:pPr>
        <w:ind w:right="160"/>
        <w:spacing w:after="0" w:line="280" w:lineRule="auto"/>
        <w:rPr>
          <w:sz w:val="20"/>
          <w:szCs w:val="20"/>
          <w:color w:val="auto"/>
        </w:rPr>
      </w:pPr>
      <w:r>
        <w:rPr>
          <w:rFonts w:ascii="Times New Roman" w:cs="Times New Roman" w:eastAsia="Times New Roman" w:hAnsi="Times New Roman"/>
          <w:sz w:val="16"/>
          <w:szCs w:val="16"/>
          <w:color w:val="auto"/>
        </w:rPr>
        <w:t>Attract and retain executive talent and enhance efficiency.</w:t>
      </w:r>
    </w:p>
    <w:p>
      <w:pPr>
        <w:spacing w:after="0" w:line="556" w:lineRule="exact"/>
        <w:rPr>
          <w:sz w:val="20"/>
          <w:szCs w:val="20"/>
          <w:color w:val="auto"/>
        </w:rPr>
      </w:pPr>
    </w:p>
    <w:p>
      <w:pPr>
        <w:sectPr>
          <w:pgSz w:w="11900" w:h="16838" w:orient="portrait"/>
          <w:cols w:equalWidth="0" w:num="2">
            <w:col w:w="7700" w:space="240"/>
            <w:col w:w="3200"/>
          </w:cols>
          <w:pgMar w:left="320" w:top="455" w:right="439" w:bottom="144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Determining Executive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Discretion and Subjective Judgment of Committee</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Committee reviews, approves and determines all elements of compensation for the executive officers.</w:t>
      </w:r>
    </w:p>
    <w:p>
      <w:pPr>
        <w:spacing w:after="0" w:line="11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In determining base salaries, annual and long-term incentive targets and all other matters related to executive compensation, the Committee relies primarily on its general experience and subjective considerations of various factors, including the Company’s strategic business goals, compensation survey data and each executive officer’s position, experience, level of responsibility, individual job performance, contributions to the Company’s corporate performance, job tenure and future potential.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Compensation Reviews</w:t>
      </w:r>
    </w:p>
    <w:p>
      <w:pPr>
        <w:spacing w:after="0" w:line="108"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The Committee conducts an annual review of executive officer compensation to determine if changes are appropriate. As part of this review, management submits recommendations to the Committee for review and approval.</w:t>
      </w:r>
    </w:p>
    <w:p>
      <w:pPr>
        <w:spacing w:after="0" w:line="5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Management’s recommendations are determined based on an annual compensation review process conducted by senior management, including the named executive officers. This process includes reviewing self-assessments completed by each executive officer, job performance reviews completed by each executive officer’s supervising manager and comparative compensation data provided by management’s compensation consultant. Based on this process, the President and Chief Operating Officer and the Executive Vice President, General Counsel and Secretary make specific compensation recommendations to the CEO and the Vice Chair. The CEO and the Vice Chair review and approve the compensation recommendations for all executive officers, including the named executive officers, before they are submitted to the Committee.</w:t>
      </w:r>
    </w:p>
    <w:p>
      <w:pPr>
        <w:spacing w:after="0" w:line="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Following a review of management’s recommendations, the Committee approves the compensation recommendations for the executive officers with any modifications the Committee deems appropriate. The Committee may also adjust compensation for specific individuals at other times during the fiscal year.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Consultants and Market Analysis</w:t>
      </w:r>
    </w:p>
    <w:p>
      <w:pPr>
        <w:spacing w:after="0" w:line="10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Management retained Korn Ferry to assist with an overall review of the executive compensation program and to provide general advice and counsel regarding various executive and director compensation matters. During the first quarter of 2020, Korn Ferry completed a comparative study of the Company’s executive compensation program relative to peer companies and survey data, which was considered by the Committee in connection with its decisions regarding compensation for 2020 (the “2020 Executive Compensation Review”). In 2020, a Korn Ferry representative attended the Committee’s meetings and also met in executive session with the Committee.</w:t>
      </w:r>
    </w:p>
    <w:p>
      <w:pPr>
        <w:spacing w:after="0" w:line="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13 peer group companies used for the 2020 Executive Compensation Review were all publicly traded companies similar in size to the Company and in the food and beverage industry. The peer group consisted of the following companies:</w:t>
      </w:r>
    </w:p>
    <w:p>
      <w:pPr>
        <w:spacing w:after="0" w:line="168"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2019 Net</w:t>
            </w:r>
          </w:p>
        </w:tc>
        <w:tc>
          <w:tcPr>
            <w:tcW w:w="0" w:type="dxa"/>
            <w:vAlign w:val="bottom"/>
          </w:tcPr>
          <w:p>
            <w:pPr>
              <w:spacing w:after="0"/>
              <w:rPr>
                <w:sz w:val="1"/>
                <w:szCs w:val="1"/>
                <w:color w:val="auto"/>
              </w:rPr>
            </w:pPr>
          </w:p>
        </w:tc>
      </w:tr>
      <w:tr>
        <w:trPr>
          <w:trHeight w:val="135"/>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 Name</w:t>
            </w:r>
          </w:p>
        </w:tc>
        <w:tc>
          <w:tcPr>
            <w:tcW w:w="2200" w:type="dxa"/>
            <w:vAlign w:val="bottom"/>
            <w:gridSpan w:val="4"/>
          </w:tcPr>
          <w:p>
            <w:pPr>
              <w:jc w:val="center"/>
              <w:ind w:left="837"/>
              <w:spacing w:after="0" w:line="135" w:lineRule="exact"/>
              <w:rPr>
                <w:sz w:val="20"/>
                <w:szCs w:val="20"/>
                <w:color w:val="auto"/>
              </w:rPr>
            </w:pPr>
            <w:r>
              <w:rPr>
                <w:rFonts w:ascii="Arial" w:cs="Arial" w:eastAsia="Arial" w:hAnsi="Arial"/>
                <w:sz w:val="13"/>
                <w:szCs w:val="13"/>
                <w:b w:val="1"/>
                <w:bCs w:val="1"/>
                <w:color w:val="auto"/>
                <w:w w:val="96"/>
              </w:rPr>
              <w:t>Reported Revenues</w:t>
            </w:r>
          </w:p>
        </w:tc>
        <w:tc>
          <w:tcPr>
            <w:tcW w:w="0" w:type="dxa"/>
            <w:vAlign w:val="bottom"/>
          </w:tcPr>
          <w:p>
            <w:pPr>
              <w:spacing w:after="0"/>
              <w:rPr>
                <w:sz w:val="1"/>
                <w:szCs w:val="1"/>
                <w:color w:val="auto"/>
              </w:rPr>
            </w:pPr>
          </w:p>
        </w:tc>
      </w:tr>
      <w:tr>
        <w:trPr>
          <w:trHeight w:val="159"/>
        </w:trPr>
        <w:tc>
          <w:tcPr>
            <w:tcW w:w="44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 in billions)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Brown-Forman Corporation</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Constellation Brands, Inc.</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Flowers Foods, Inc.</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Keurig Dr Pepper Inc.</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Lancaster Colony Corporation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McCormick &amp; Company, Incorporated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Molson Coors Beverage Company (f/k/a Molson Coors Brewing</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Monster Beverage Corporation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Primo Water Corporation (f/k/a Cott Corporation)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Sanderson Farms, Inc.</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Seneca Foods Corporation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The Hain Celestial Group, Inc.</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TreeHouse Foods, Inc.</w:t>
            </w:r>
          </w:p>
        </w:tc>
        <w:tc>
          <w:tcPr>
            <w:tcW w:w="9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Coke Consolidated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Median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Average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Management and the Committee used the Korn Ferry study and other publicly available compensation surveys and data as a point of reference to assess whether the compensation for each of the executive officers was within a reasonably competitive range between the 50th and 75th percentiles of companies of similar size and whether any variation above or below the range was appropriate.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Base Salaries</w:t>
      </w:r>
    </w:p>
    <w:p>
      <w:pPr>
        <w:spacing w:after="0" w:line="11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 salaries are the foundation of the Company’s executive compensation program. They provide a fixed, baseline level of cash compensation based on each executive officer’s position, experience, level of responsibility, individual job performance, contributions to the Company’s corporate performance, job tenure and future potential. Base salary levels also impact amounts paid under other elements of the Company’s executive compensation program, including annual bonuses, long-term performance awards and retirement benefits.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Committee approved the following adjustments to the named executive officers’ base salaries effective March 30, 2020:</w:t>
      </w:r>
    </w:p>
    <w:p>
      <w:pPr>
        <w:spacing w:after="0" w:line="232"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900" w:type="dxa"/>
            <w:vAlign w:val="bottom"/>
          </w:tcPr>
          <w:p>
            <w:pPr>
              <w:jc w:val="right"/>
              <w:ind w:right="284"/>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84"/>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Increase</w:t>
            </w:r>
          </w:p>
        </w:tc>
        <w:tc>
          <w:tcPr>
            <w:tcW w:w="0" w:type="dxa"/>
            <w:vAlign w:val="bottom"/>
          </w:tcPr>
          <w:p>
            <w:pPr>
              <w:spacing w:after="0"/>
              <w:rPr>
                <w:sz w:val="1"/>
                <w:szCs w:val="1"/>
                <w:color w:val="auto"/>
              </w:rPr>
            </w:pPr>
          </w:p>
        </w:tc>
      </w:tr>
      <w:tr>
        <w:trPr>
          <w:trHeight w:val="159"/>
        </w:trPr>
        <w:tc>
          <w:tcPr>
            <w:tcW w:w="4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Base Salary</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Base Salary</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1,157,630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1,186,571</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525,000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538,125</w:t>
            </w:r>
          </w:p>
        </w:tc>
        <w:tc>
          <w:tcPr>
            <w:tcW w:w="580" w:type="dxa"/>
            <w:vAlign w:val="bottom"/>
          </w:tcPr>
          <w:p>
            <w:pPr>
              <w:spacing w:after="0"/>
              <w:rPr>
                <w:sz w:val="17"/>
                <w:szCs w:val="17"/>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700,000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770,000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640,625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656,641</w:t>
            </w:r>
          </w:p>
        </w:tc>
        <w:tc>
          <w:tcPr>
            <w:tcW w:w="580" w:type="dxa"/>
            <w:vAlign w:val="bottom"/>
          </w:tcPr>
          <w:p>
            <w:pPr>
              <w:spacing w:after="0"/>
              <w:rPr>
                <w:sz w:val="17"/>
                <w:szCs w:val="17"/>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574,000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588,350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base salary adjustments for the named executive officers other than Mr. Katz were in line with the 2.5% target merit salary increase for the Company’s senior officers. Mr. Katz received an above-target increase as a result of his experience, individual job performance and future potential.</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Bonus Plan</w:t>
      </w:r>
    </w:p>
    <w:p>
      <w:pPr>
        <w:spacing w:after="0" w:line="116"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All of the named executive officers participate in the Company’s Annual Bonus Plan. The Company’s Annual Bonus Plan provides each executive officer the opportunity to receive an annual cash award based on the achievement of corporate performance goals and individual performance.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formula for computing annual bonus payouts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003415" cy="668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6686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Target Bonus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Target Bonus Percentage (% of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Overall Goal Achievement Factor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Individual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Performance Factor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Bonus Award</w:t>
      </w:r>
    </w:p>
    <w:p>
      <w:pPr>
        <w:spacing w:after="0" w:line="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Earned</w:t>
      </w:r>
    </w:p>
    <w:p>
      <w:pPr>
        <w:spacing w:after="0" w:line="882" w:lineRule="exact"/>
        <w:rPr>
          <w:sz w:val="20"/>
          <w:szCs w:val="20"/>
          <w:color w:val="auto"/>
        </w:rPr>
      </w:pPr>
    </w:p>
    <w:p>
      <w:pPr>
        <w:sectPr>
          <w:pgSz w:w="11900" w:h="16838" w:orient="portrait"/>
          <w:cols w:equalWidth="0" w:num="9">
            <w:col w:w="2280" w:space="720"/>
            <w:col w:w="80" w:space="380"/>
            <w:col w:w="1360" w:space="320"/>
            <w:col w:w="100" w:space="420"/>
            <w:col w:w="1460" w:space="380"/>
            <w:col w:w="100" w:space="400"/>
            <w:col w:w="1420" w:space="340"/>
            <w:col w:w="100" w:space="240"/>
            <w:col w:w="102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In the first quarter of each year, the Committee approves a target bonus percentage for each executive officer, expressed as a percentage of base salary.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Target bonus percentages are determined based on each executive officer’s position and level of responsibility.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target bonus percentages for the named executive officers for 2020 were as follows:</w:t>
      </w:r>
    </w:p>
    <w:p>
      <w:pPr>
        <w:spacing w:after="0" w:line="232" w:lineRule="exact"/>
        <w:rPr>
          <w:sz w:val="20"/>
          <w:szCs w:val="20"/>
          <w:color w:val="auto"/>
        </w:rPr>
      </w:pPr>
    </w:p>
    <w:tbl>
      <w:tblPr>
        <w:tblLayout w:type="fixed"/>
        <w:tblInd w:w="276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jc w:val="right"/>
              <w:ind w:right="126"/>
              <w:spacing w:after="0"/>
              <w:rPr>
                <w:sz w:val="20"/>
                <w:szCs w:val="20"/>
                <w:color w:val="auto"/>
              </w:rPr>
            </w:pPr>
            <w:r>
              <w:rPr>
                <w:rFonts w:ascii="Arial" w:cs="Arial" w:eastAsia="Arial" w:hAnsi="Arial"/>
                <w:sz w:val="13"/>
                <w:szCs w:val="13"/>
                <w:b w:val="1"/>
                <w:bCs w:val="1"/>
                <w:color w:val="auto"/>
              </w:rPr>
              <w:t>2020 Target</w:t>
            </w:r>
          </w:p>
        </w:tc>
        <w:tc>
          <w:tcPr>
            <w:tcW w:w="0" w:type="dxa"/>
            <w:vAlign w:val="bottom"/>
          </w:tcPr>
          <w:p>
            <w:pPr>
              <w:spacing w:after="0"/>
              <w:rPr>
                <w:sz w:val="1"/>
                <w:szCs w:val="1"/>
                <w:color w:val="auto"/>
              </w:rPr>
            </w:pPr>
          </w:p>
        </w:tc>
      </w:tr>
      <w:tr>
        <w:trPr>
          <w:trHeight w:val="135"/>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4"/>
              </w:rPr>
              <w:t>Bonus Percentage</w:t>
            </w:r>
          </w:p>
        </w:tc>
        <w:tc>
          <w:tcPr>
            <w:tcW w:w="0" w:type="dxa"/>
            <w:vAlign w:val="bottom"/>
          </w:tcPr>
          <w:p>
            <w:pPr>
              <w:spacing w:after="0"/>
              <w:rPr>
                <w:sz w:val="1"/>
                <w:szCs w:val="1"/>
                <w:color w:val="auto"/>
              </w:rPr>
            </w:pPr>
          </w:p>
        </w:tc>
      </w:tr>
      <w:tr>
        <w:trPr>
          <w:trHeight w:val="159"/>
        </w:trPr>
        <w:tc>
          <w:tcPr>
            <w:tcW w:w="4620" w:type="dxa"/>
            <w:vAlign w:val="bottom"/>
            <w:gridSpan w:val="2"/>
            <w:vMerge w:val="continue"/>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95"/>
              </w:rPr>
              <w:t>(% of Base Salary)</w:t>
            </w: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1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target bonus percentages for the named executive officers (other than Mr. Anthony) remained unchanged from 2019 as a percentage of base salary. The target bonus percentage for Mr. Anthony increased to 75% (from 60%) of his base salary to account for his level of responsibility and to align with the market.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Overall Goal Achievement Factor</w:t>
      </w:r>
    </w:p>
    <w:p>
      <w:pPr>
        <w:spacing w:after="0" w:line="108" w:lineRule="exact"/>
        <w:rPr>
          <w:sz w:val="20"/>
          <w:szCs w:val="20"/>
          <w:color w:val="auto"/>
        </w:rPr>
      </w:pPr>
    </w:p>
    <w:p>
      <w:pPr>
        <w:jc w:val="both"/>
        <w:ind w:left="120" w:right="340"/>
        <w:spacing w:after="0" w:line="261" w:lineRule="auto"/>
        <w:rPr>
          <w:sz w:val="20"/>
          <w:szCs w:val="20"/>
          <w:color w:val="auto"/>
        </w:rPr>
      </w:pPr>
      <w:r>
        <w:rPr>
          <w:rFonts w:ascii="Times New Roman" w:cs="Times New Roman" w:eastAsia="Times New Roman" w:hAnsi="Times New Roman"/>
          <w:sz w:val="18"/>
          <w:szCs w:val="18"/>
          <w:color w:val="auto"/>
        </w:rPr>
        <w:t>The overall goal achievement factor is calculated based on the Company’s achievement of annual corporate performance goals determined for each performance measure under the Annual Bonus Plan. The target performance goal for each performance measure was in each case equal to or greater than the target performance in the Company’s 2020 operating plan. The following table summarizes the performance measures and related corporate performance goals approved by the Committee for 2020:</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6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Performance Measure</w:t>
            </w: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Weight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Performance Goals</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2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Threshold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520"/>
              <w:spacing w:after="0" w:line="129" w:lineRule="exact"/>
              <w:rPr>
                <w:sz w:val="20"/>
                <w:szCs w:val="20"/>
                <w:color w:val="auto"/>
              </w:rPr>
            </w:pPr>
            <w:r>
              <w:rPr>
                <w:rFonts w:ascii="Arial" w:cs="Arial" w:eastAsia="Arial" w:hAnsi="Arial"/>
                <w:sz w:val="13"/>
                <w:szCs w:val="13"/>
                <w:b w:val="1"/>
                <w:bCs w:val="1"/>
                <w:color w:val="auto"/>
              </w:rPr>
              <w:t>Target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 million</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 million</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 million</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22.2 million</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40.0 million</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 million</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4.573 billion</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4.688 billion</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4.753 billion</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Committee selected EBIT, Free Cash Flow and Revenue (each, as defined below) as the performance measures for 2020 because the Committee believes the Revenue performance measure, together with the profitability performance measures, encourage senior management to grow top-line revenue with a strong emphasis on profitability and generation of free cash flow. While both EBIT and Free Cash Flow measure profitability, EBIT measures the current year’s operating profitability taking into account all cash and non-cash expenses other than interest and taxes. Free Cash Flow, on the other hand, measures the Company’s ability to generate sufficient profit to fund spending on equipment and assets as well as changes in working capital which will support the generation of profit in future years. The Committee chose to use both profitability measures to provide a balanced assessment of the Company’s current profitability and its ability to sustain profitability over the longer term. There were no changes from 2019 to 2020 in the relative weights assigned to the performance measures.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performance measures are defined as follows:</w:t>
      </w:r>
    </w:p>
    <w:p>
      <w:pPr>
        <w:spacing w:after="0" w:line="131" w:lineRule="exact"/>
        <w:rPr>
          <w:sz w:val="20"/>
          <w:szCs w:val="20"/>
          <w:color w:val="auto"/>
        </w:rPr>
      </w:pPr>
    </w:p>
    <w:p>
      <w:pPr>
        <w:ind w:left="1080" w:right="24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the acronym for Earnings Before Interest and Taxes and means income from operations determined on a consolidated basis in accordance with U.S. generally accepted accounting principles (“GAAP”);</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means the change in long-term debt and obligations under financing leases (both current and noncurrent) net of cash and cash equivalents;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means net sales revenue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102870</wp:posOffset>
            </wp:positionV>
            <wp:extent cx="762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78" w:lineRule="exact"/>
        <w:rPr>
          <w:sz w:val="20"/>
          <w:szCs w:val="20"/>
          <w:color w:val="auto"/>
        </w:rPr>
      </w:pPr>
    </w:p>
    <w:p>
      <w:pPr>
        <w:jc w:val="both"/>
        <w:ind w:left="1080" w:right="100" w:hanging="532"/>
        <w:spacing w:after="0" w:line="266" w:lineRule="auto"/>
        <w:tabs>
          <w:tab w:leader="none" w:pos="10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Free Cash Flow is a non-GAAP financial performance measure used solely for evaluating the Company’s performance in connection with the determination of the amount of incentive compensation earned under the 2020 Annual Bonus Plan. Non-GAAP financial measures are not an alternative for the Company’s reported results prepared in accordance with GAAP.</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Committee also approved the threshold, target and maximum performance goals for each performance measure under the 2020 Annual Bonus Plan. If the threshold goal is not achieved for a given measure, there will be no payout on that measure. Increasingly larger payouts will be awarded for levels of achievement between the threshold and maximum performance goals.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payout range for each performance goal:</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64"/>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89"/>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Goal Achievement</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threshold</w:t>
            </w:r>
          </w:p>
        </w:tc>
        <w:tc>
          <w:tcPr>
            <w:tcW w:w="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Threshold to target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- 99%</w:t>
            </w:r>
          </w:p>
        </w:tc>
      </w:tr>
      <w:tr>
        <w:trPr>
          <w:trHeight w:val="20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Target to maximum</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- 149%</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Maximum and greater</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150%</w:t>
            </w:r>
          </w:p>
        </w:tc>
      </w:tr>
    </w:tbl>
    <w:p>
      <w:pPr>
        <w:spacing w:after="0" w:line="8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Annual Bonus Plan, in determining the overall goal achievement factor, the Committee may make adjustments to the actual levels of achievement under each corporate performance measure to ensure that each corporate performance measure reflects the Company’s normalized operating performance in the ordinary course of business. In general, these adjustments relate to unplanned or unanticipated events. Examples of such adjustments would be the mark-to-market adjustments required on the Company’s hedges for certain commodities such as fuel and aluminum and costs related to supply chain optimization efforts. In addition, Revenue is adjusted to exclude sales to other bottlers, because those sales are the result of supply chain decisions made by a national product supply group comprised of The Coca-Cola Company and certain regional producing Coca-Cola bottlers (including the Company) (the “National Product Supply Group”) and not by Company management. Adjustments to EBIT, Free Cash Flow and Revenue in 2020 totaled $(5.8) million, $122.7 million and $(388.5) million, respectively. The adjustment to Free Cash Flow includes an increase of $100.0 million, which amount represents the purchase price paid by an indirect wholly owned subsidiary of the Company for the purchase on December 9, 2020 of the remaining 22.7% general partnership interest in Piedmont not owned by the Company from an indirect wholly owned subsidiary of The Coca-Cola Company. Sales to other bottlers comprised $(329.6) million of the total Revenue adjustment of $(388.5) million.</w:t>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the overall goal achievement factor for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4"/>
                <w:szCs w:val="14"/>
                <w:color w:val="auto"/>
              </w:rPr>
            </w:pPr>
          </w:p>
        </w:tc>
        <w:tc>
          <w:tcPr>
            <w:tcW w:w="7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Payout</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0"/>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right="120"/>
              <w:spacing w:after="0" w:line="150"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line="150" w:lineRule="exact"/>
              <w:rPr>
                <w:sz w:val="20"/>
                <w:szCs w:val="20"/>
                <w:color w:val="auto"/>
              </w:rPr>
            </w:pPr>
            <w:r>
              <w:rPr>
                <w:rFonts w:ascii="Arial" w:cs="Arial" w:eastAsia="Arial" w:hAnsi="Arial"/>
                <w:sz w:val="14"/>
                <w:szCs w:val="14"/>
                <w:b w:val="1"/>
                <w:bCs w:val="1"/>
                <w:color w:val="auto"/>
              </w:rPr>
              <w:t>Goal</w:t>
            </w: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9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8"/>
              </w:rPr>
              <w:t>Weight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Goal</w:t>
            </w:r>
          </w:p>
        </w:tc>
        <w:tc>
          <w:tcPr>
            <w:tcW w:w="120" w:type="dxa"/>
            <w:vAlign w:val="bottom"/>
          </w:tcPr>
          <w:p>
            <w:pPr>
              <w:spacing w:after="0"/>
              <w:rPr>
                <w:sz w:val="17"/>
                <w:szCs w:val="17"/>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Achievement</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 million</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 million</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150.0%</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208.3 million</w:t>
            </w:r>
          </w:p>
        </w:tc>
        <w:tc>
          <w:tcPr>
            <w:tcW w:w="92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150.0%</w:t>
            </w:r>
          </w:p>
        </w:tc>
        <w:tc>
          <w:tcPr>
            <w:tcW w:w="11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4.688 billion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4.619 billion</w:t>
            </w:r>
          </w:p>
        </w:tc>
        <w:tc>
          <w:tcPr>
            <w:tcW w:w="9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69.9%</w:t>
            </w:r>
          </w:p>
        </w:tc>
        <w:tc>
          <w:tcPr>
            <w:tcW w:w="2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Overall Goal Achievement Factor</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134.0%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Individual Performance Factor</w:t>
      </w:r>
    </w:p>
    <w:p>
      <w:pPr>
        <w:spacing w:after="0" w:line="108"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Committee determines the individual performance factor for each named executive officer during the first quarter of each fiscal year based on its subjective judgment of the named executive officer’s performance for the prior fiscal year, including consideration of the named executive officer’s annual performance evaluation, special projects the executive was assigned during the fiscal year and management’s recommendations. The target individual performance factor is 1.0; the maximum individual performance factor is 1.5.</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 Calculation</w:t>
      </w:r>
    </w:p>
    <w:p>
      <w:pPr>
        <w:spacing w:after="0" w:line="108"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Based on the Committee’s determinations as described above, the bonus amounts paid to the named executive officers for 2020 were calculated as follows: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Base</w:t>
            </w:r>
          </w:p>
        </w:tc>
        <w:tc>
          <w:tcPr>
            <w:tcW w:w="420" w:type="dxa"/>
            <w:vAlign w:val="bottom"/>
          </w:tcPr>
          <w:p>
            <w:pPr>
              <w:spacing w:after="0"/>
              <w:rPr>
                <w:sz w:val="13"/>
                <w:szCs w:val="13"/>
                <w:color w:val="auto"/>
              </w:rPr>
            </w:pPr>
          </w:p>
        </w:tc>
        <w:tc>
          <w:tcPr>
            <w:tcW w:w="1540" w:type="dxa"/>
            <w:vAlign w:val="bottom"/>
          </w:tcPr>
          <w:p>
            <w:pPr>
              <w:jc w:val="right"/>
              <w:ind w:right="506"/>
              <w:spacing w:after="0"/>
              <w:rPr>
                <w:sz w:val="20"/>
                <w:szCs w:val="20"/>
                <w:color w:val="auto"/>
              </w:rPr>
            </w:pPr>
            <w:r>
              <w:rPr>
                <w:rFonts w:ascii="Arial" w:cs="Arial" w:eastAsia="Arial" w:hAnsi="Arial"/>
                <w:sz w:val="13"/>
                <w:szCs w:val="13"/>
                <w:b w:val="1"/>
                <w:bCs w:val="1"/>
                <w:color w:val="auto"/>
              </w:rPr>
              <w:t>Target</w:t>
            </w:r>
          </w:p>
        </w:tc>
        <w:tc>
          <w:tcPr>
            <w:tcW w:w="5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Overall Goal</w:t>
            </w:r>
          </w:p>
        </w:tc>
        <w:tc>
          <w:tcPr>
            <w:tcW w:w="5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Individual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Bonus</w:t>
            </w: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x</w:t>
            </w:r>
          </w:p>
        </w:tc>
        <w:tc>
          <w:tcPr>
            <w:tcW w:w="1540" w:type="dxa"/>
            <w:vAlign w:val="bottom"/>
          </w:tcPr>
          <w:p>
            <w:pPr>
              <w:jc w:val="right"/>
              <w:ind w:right="146"/>
              <w:spacing w:after="0" w:line="135" w:lineRule="exact"/>
              <w:rPr>
                <w:sz w:val="20"/>
                <w:szCs w:val="20"/>
                <w:color w:val="auto"/>
              </w:rPr>
            </w:pPr>
            <w:r>
              <w:rPr>
                <w:rFonts w:ascii="Arial" w:cs="Arial" w:eastAsia="Arial" w:hAnsi="Arial"/>
                <w:sz w:val="13"/>
                <w:szCs w:val="13"/>
                <w:b w:val="1"/>
                <w:bCs w:val="1"/>
                <w:color w:val="auto"/>
              </w:rPr>
              <w:t>Bonus Percentage</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x</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Achievement</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x</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Performance</w:t>
            </w:r>
          </w:p>
        </w:tc>
        <w:tc>
          <w:tcPr>
            <w:tcW w:w="4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62"/>
        </w:trPr>
        <w:tc>
          <w:tcPr>
            <w:tcW w:w="3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Salary</w:t>
            </w:r>
          </w:p>
        </w:tc>
        <w:tc>
          <w:tcPr>
            <w:tcW w:w="420" w:type="dxa"/>
            <w:vAlign w:val="bottom"/>
            <w:vMerge w:val="continue"/>
          </w:tcPr>
          <w:p>
            <w:pPr>
              <w:spacing w:after="0"/>
              <w:rPr>
                <w:sz w:val="14"/>
                <w:szCs w:val="14"/>
                <w:color w:val="auto"/>
              </w:rPr>
            </w:pPr>
          </w:p>
        </w:tc>
        <w:tc>
          <w:tcPr>
            <w:tcW w:w="1540" w:type="dxa"/>
            <w:vAlign w:val="bottom"/>
          </w:tcPr>
          <w:p>
            <w:pPr>
              <w:jc w:val="right"/>
              <w:ind w:right="146"/>
              <w:spacing w:after="0"/>
              <w:rPr>
                <w:sz w:val="20"/>
                <w:szCs w:val="20"/>
                <w:color w:val="auto"/>
              </w:rPr>
            </w:pPr>
            <w:r>
              <w:rPr>
                <w:rFonts w:ascii="Arial" w:cs="Arial" w:eastAsia="Arial" w:hAnsi="Arial"/>
                <w:sz w:val="13"/>
                <w:szCs w:val="13"/>
                <w:b w:val="1"/>
                <w:bCs w:val="1"/>
                <w:color w:val="auto"/>
              </w:rPr>
              <w:t>(% of Base Salary)</w:t>
            </w:r>
          </w:p>
        </w:tc>
        <w:tc>
          <w:tcPr>
            <w:tcW w:w="520" w:type="dxa"/>
            <w:vAlign w:val="bottom"/>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5"/>
              </w:rPr>
              <w:t>Factor</w:t>
            </w:r>
          </w:p>
        </w:tc>
        <w:tc>
          <w:tcPr>
            <w:tcW w:w="52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Factor</w:t>
            </w: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Earned</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1,186,571</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x</w:t>
            </w:r>
          </w:p>
        </w:tc>
        <w:tc>
          <w:tcPr>
            <w:tcW w:w="1540" w:type="dxa"/>
            <w:vAlign w:val="bottom"/>
            <w:tcBorders>
              <w:top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100%</w:t>
            </w:r>
          </w:p>
        </w:tc>
        <w:tc>
          <w:tcPr>
            <w:tcW w:w="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134.0%</w:t>
            </w:r>
          </w:p>
        </w:tc>
        <w:tc>
          <w:tcPr>
            <w:tcW w:w="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4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1,908,006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538,125</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x</w:t>
            </w:r>
          </w:p>
        </w:tc>
        <w:tc>
          <w:tcPr>
            <w:tcW w:w="1540" w:type="dxa"/>
            <w:vAlign w:val="bottom"/>
          </w:tcPr>
          <w:p>
            <w:pPr>
              <w:jc w:val="right"/>
              <w:ind w:right="506"/>
              <w:spacing w:after="0"/>
              <w:rPr>
                <w:sz w:val="20"/>
                <w:szCs w:val="20"/>
                <w:color w:val="auto"/>
              </w:rPr>
            </w:pPr>
            <w:r>
              <w:rPr>
                <w:rFonts w:ascii="Times New Roman" w:cs="Times New Roman" w:eastAsia="Times New Roman" w:hAnsi="Times New Roman"/>
                <w:sz w:val="16"/>
                <w:szCs w:val="16"/>
                <w:color w:val="auto"/>
              </w:rPr>
              <w:t>75%</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134.0%</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770,000</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x</w:t>
            </w:r>
          </w:p>
        </w:tc>
        <w:tc>
          <w:tcPr>
            <w:tcW w:w="15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100%</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134.0%</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1,444,520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656,641</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x</w:t>
            </w:r>
          </w:p>
        </w:tc>
        <w:tc>
          <w:tcPr>
            <w:tcW w:w="1540" w:type="dxa"/>
            <w:vAlign w:val="bottom"/>
          </w:tcPr>
          <w:p>
            <w:pPr>
              <w:jc w:val="right"/>
              <w:ind w:right="506"/>
              <w:spacing w:after="0"/>
              <w:rPr>
                <w:sz w:val="20"/>
                <w:szCs w:val="20"/>
                <w:color w:val="auto"/>
              </w:rPr>
            </w:pPr>
            <w:r>
              <w:rPr>
                <w:rFonts w:ascii="Times New Roman" w:cs="Times New Roman" w:eastAsia="Times New Roman" w:hAnsi="Times New Roman"/>
                <w:sz w:val="16"/>
                <w:szCs w:val="16"/>
                <w:color w:val="auto"/>
              </w:rPr>
              <w:t>75%</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134.0%</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588,350</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x</w:t>
            </w:r>
          </w:p>
        </w:tc>
        <w:tc>
          <w:tcPr>
            <w:tcW w:w="15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75%</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134.0%</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x</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Long-Term Performance Plan</w:t>
      </w:r>
    </w:p>
    <w:p>
      <w:pPr>
        <w:spacing w:after="0" w:line="116"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Long-Term Performance Plan delivers a targeted percentage of base salary to each participant based on the achievement of long-term goals of the Company. The Long-Term Performance Plan is offered to the executive officers and other key employees. A three-year performance cycle is generally established each year for determining compensation under the Long-Term Performance Plan.</w:t>
      </w:r>
    </w:p>
    <w:p>
      <w:pPr>
        <w:spacing w:after="0" w:line="6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Committee approved the Long-Term Performance Plan to promote retention of executive officers and key employees, increase the proportion of their total performance-based compensation, and provide an incentive to achieve the Company’s long-term strategic and financial goals.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general formula for computing awards under the Long-Term Performance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171450</wp:posOffset>
            </wp:positionV>
            <wp:extent cx="4757420" cy="745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57420" cy="7454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Target Award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Long-Term Performance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Long-Term Performance Factor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Earned</w:t>
      </w:r>
    </w:p>
    <w:p>
      <w:pPr>
        <w:spacing w:after="0" w:line="906" w:lineRule="exact"/>
        <w:rPr>
          <w:sz w:val="20"/>
          <w:szCs w:val="20"/>
          <w:color w:val="auto"/>
        </w:rPr>
      </w:pPr>
    </w:p>
    <w:p>
      <w:pPr>
        <w:sectPr>
          <w:pgSz w:w="11900" w:h="16838" w:orient="portrait"/>
          <w:cols w:equalWidth="0" w:num="5">
            <w:col w:w="3560" w:space="720"/>
            <w:col w:w="100" w:space="560"/>
            <w:col w:w="1420" w:space="460"/>
            <w:col w:w="480" w:space="720"/>
            <w:col w:w="3120"/>
          </w:cols>
          <w:pgMar w:left="320" w:top="455" w:right="439" w:bottom="1440" w:gutter="0" w:footer="0" w:header="0"/>
          <w:type w:val="continuous"/>
        </w:sect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the first quarter of 2020, the Committee established the Long-Term Performance Plan for the 2020-2022 three-year performance period (the “2020 Long-Term Performance Plan”).</w:t>
      </w:r>
    </w:p>
    <w:p>
      <w:pPr>
        <w:spacing w:after="0" w:line="5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Committee approved target awards under the 2020 Long-Term Performance Plan based on its consideration of each executive officer’s base salary, position and level of responsibility, succession planning considerations, the Company’s historical grant practices and market benchmark data provided by Korn Ferry. Payouts with respect to the target awards will be made in early 2023 depending on the Company’s achievement of specified corporate performance goals during the three-year performance period.</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target awards granted to the named executive officers under the 2020 Long-Term Performance Plan:</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00" w:type="dxa"/>
            <w:vAlign w:val="bottom"/>
            <w:gridSpan w:val="5"/>
          </w:tcPr>
          <w:p>
            <w:pPr>
              <w:ind w:left="540"/>
              <w:spacing w:after="0"/>
              <w:rPr>
                <w:sz w:val="20"/>
                <w:szCs w:val="20"/>
                <w:color w:val="auto"/>
              </w:rPr>
            </w:pPr>
            <w:r>
              <w:rPr>
                <w:rFonts w:ascii="Arial" w:cs="Arial" w:eastAsia="Arial" w:hAnsi="Arial"/>
                <w:sz w:val="14"/>
                <w:szCs w:val="14"/>
                <w:b w:val="1"/>
                <w:bCs w:val="1"/>
                <w:color w:val="auto"/>
              </w:rPr>
              <w:t>2020 Long-Term Performance Plan</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Target Awards</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spacing w:after="0"/>
              <w:rPr>
                <w:sz w:val="12"/>
                <w:szCs w:val="12"/>
                <w:color w:val="auto"/>
              </w:rPr>
            </w:pPr>
          </w:p>
        </w:tc>
        <w:tc>
          <w:tcPr>
            <w:tcW w:w="1140" w:type="dxa"/>
            <w:vAlign w:val="bottom"/>
          </w:tcPr>
          <w:p>
            <w:pPr>
              <w:jc w:val="right"/>
              <w:ind w:right="344"/>
              <w:spacing w:after="0" w:line="141"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9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jc w:val="right"/>
              <w:ind w:right="84"/>
              <w:spacing w:after="0"/>
              <w:rPr>
                <w:sz w:val="20"/>
                <w:szCs w:val="20"/>
                <w:color w:val="auto"/>
              </w:rPr>
            </w:pPr>
            <w:r>
              <w:rPr>
                <w:rFonts w:ascii="Arial" w:cs="Arial" w:eastAsia="Arial" w:hAnsi="Arial"/>
                <w:sz w:val="14"/>
                <w:szCs w:val="14"/>
                <w:b w:val="1"/>
                <w:bCs w:val="1"/>
                <w:color w:val="auto"/>
              </w:rPr>
              <w:t>Base Salary</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Anthony</w:t>
            </w:r>
          </w:p>
        </w:tc>
        <w:tc>
          <w:tcPr>
            <w:tcW w:w="10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403,594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Mr. Katz</w:t>
            </w:r>
          </w:p>
        </w:tc>
        <w:tc>
          <w:tcPr>
            <w:tcW w:w="214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Chambless</w:t>
            </w:r>
          </w:p>
        </w:tc>
        <w:tc>
          <w:tcPr>
            <w:tcW w:w="214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492,480</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Mr. Fisher</w:t>
            </w:r>
          </w:p>
        </w:tc>
        <w:tc>
          <w:tcPr>
            <w:tcW w:w="214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441,263</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target award percentages for the named executive officers (other than Mr. Anthony) remained unchanged from 2019 as a percentage of base salary. The target award percentage for Mr. Anthony increased to 75% (from 60%) of his base salary to account for his level of responsibility and to align with the market.</w:t>
      </w:r>
    </w:p>
    <w:p>
      <w:pPr>
        <w:spacing w:after="0" w:line="6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long-term performance factor is calculated based on the Company’s achievement of corporate performance goals during the three-year performance period. The following table summarizes the corporate performance measures and weights approved by the Committee for the 2020 Long-Term Performance Plan:</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97"/>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w:t>
            </w:r>
          </w:p>
        </w:tc>
      </w:tr>
      <w:tr>
        <w:trPr>
          <w:trHeight w:val="189"/>
        </w:trPr>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Leverage Ratio</w:t>
            </w:r>
          </w:p>
        </w:tc>
        <w:tc>
          <w:tcPr>
            <w:tcW w:w="5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30%</w:t>
            </w: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EBIT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 Margin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r>
    </w:tbl>
    <w:p>
      <w:pPr>
        <w:spacing w:after="0" w:line="19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Long-Term Performance Plan for the 2019-2021 three-year performance period included Leverage Ratio, EBIT and EBIT Margin (each, as defined below) weighted 50%, 30% and 20%, respectively, as performance measures. In 2020, the Committee changed the weightings of the measures and assigned a 30% weighting to Leverage Ratio and a 50% weighting to EBIT to align with the current business environment and to incent the appropriate management behavior. The Committee included Leverage Ratio as a performance measure to encourage senior management to focus on the Company’s debt levels. The Committee believes the EBIT and EBIT Margin performance measures focus senior management on enhancing the efficiency and quality of earnings along with the profitability from operations. The Committee believes the achievement of goals with respect to all of these measures is consistent with the long-term interests of the Company’s stockholders.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performance measures are defined as follows:</w:t>
      </w:r>
    </w:p>
    <w:p>
      <w:pPr>
        <w:spacing w:after="0" w:line="131" w:lineRule="exact"/>
        <w:rPr>
          <w:sz w:val="20"/>
          <w:szCs w:val="20"/>
          <w:color w:val="auto"/>
        </w:rPr>
      </w:pPr>
    </w:p>
    <w:p>
      <w:pPr>
        <w:ind w:left="1080" w:right="52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means long-term debt and obligations under financing leases (both current and noncurrent) less cash and cash equivalents, divided by the sum of income from operations, depreciation and amortization, all determined on a consolidated basis in accordance with GAAP;</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the acronym for Earnings Before Interest and Taxes and means income from operations determined on a consolidated basis in accordance with GAAP;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Margin” means the percentage determined by dividing EBIT by Revenue (as defined in the description of the Annual Bonus Plan beginning on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62865</wp:posOffset>
            </wp:positionV>
            <wp:extent cx="762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15" w:lineRule="exact"/>
        <w:rPr>
          <w:sz w:val="20"/>
          <w:szCs w:val="20"/>
          <w:color w:val="auto"/>
        </w:rPr>
      </w:pPr>
    </w:p>
    <w:p>
      <w:pPr>
        <w:ind w:left="1080" w:right="460" w:hanging="532"/>
        <w:spacing w:after="0" w:line="266" w:lineRule="auto"/>
        <w:tabs>
          <w:tab w:leader="none" w:pos="10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Leverage Ratio is a non-GAAP financial performance measure that will be used solely for evaluating the Company’s performance in connection with the determination of the amount of incentive compensation earned under the 2020 Long-Term Performance Plan. Non-GAAP financial measures are not an alternative for the Company’s reported results prepared in accordance with GAAP.</w:t>
      </w:r>
    </w:p>
    <w:p>
      <w:pPr>
        <w:spacing w:after="0" w:line="6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Committee approved the threshold, target and maximum performance goals for each performance measure under the 2020 Long-Term Performance Plan. The target performance goals are set at a level believed by management to be reasonably achievable. The economic and business environment facing the Company remains challenging and therefore the Company’s ability to achieve the target goals under the 2020 Long-Term Performance Plan is uncertain.</w:t>
      </w:r>
    </w:p>
    <w:p>
      <w:pPr>
        <w:spacing w:after="0" w:line="7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the threshold goal is not achieved for a given measure, there will be no payout on that measure. Increasingly larger payouts will be awarded for levels of achievement between the threshold and maximum performance goals.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payout range for each performance goal:</w:t>
      </w:r>
    </w:p>
    <w:p>
      <w:pPr>
        <w:spacing w:after="0" w:line="232"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6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Performance Goal Achievement</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59"/>
        </w:trPr>
        <w:tc>
          <w:tcPr>
            <w:tcW w:w="6200" w:type="dxa"/>
            <w:vAlign w:val="bottom"/>
            <w:gridSpan w:val="2"/>
            <w:vMerge w:val="continue"/>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96"/>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threshold</w:t>
            </w:r>
          </w:p>
        </w:tc>
        <w:tc>
          <w:tcPr>
            <w:tcW w:w="3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Threshold to target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- 99%</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Target to maximum</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- 149%</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Maximum and greater</w:t>
            </w:r>
          </w:p>
        </w:tc>
        <w:tc>
          <w:tcPr>
            <w:tcW w:w="12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Long-Term Performance Plan, in determining the long-term performance factor, the Committee may make adjustments to the actual levels of achievement under each corporate performance measure to ensure that each corporate performance measure reflects the Company’s normalized operating performance in the ordinary course of business. In general, these potential adjustments relate to unplanned or unanticipated events. Examples of such adjustments would be the mark-to-market adjustments required on the Company’s hedges for certain commodities such as fuel and aluminum and costs related to supply chain optimization efforts.</w:t>
      </w:r>
    </w:p>
    <w:p>
      <w:pPr>
        <w:spacing w:after="0" w:line="75"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Awards, if any, under the 2020 Long-Term Performance Plan will be paid in early 2023 based on the Company’s audited consolidated financial results for fiscal years 2020 through 2022 and any adjustments made by the Committee. Consistent with the Company’s historical practice of compensating executive officers (other than the CEO) in cash, the awards will be paid in cash instead of equity due to the limited number of shares of Coke Consolidated stock held by stockholders who are not affiliates of the Company and the limited trading volume of Coke Consolidated Common Stock.</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Long-Term Performance Plan</w:t>
      </w:r>
    </w:p>
    <w:p>
      <w:pPr>
        <w:spacing w:after="0" w:line="108"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In the first quarter of 2018, the Committee established the Long-Term Performance Plan for the 2018-2020 three-year performance period (the “2018 Long-Term Performance Plan”). Awards under the 2018 Long-Term Performance Plan were paid in early 2021 based on the Company’s audited consolidated financial results for fiscal years 2018 through 2020 and the adjustments made by the Committee described below. The awards were calculated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 Long-Term</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Performance Plan</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x</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Long-Term</w:t>
            </w:r>
          </w:p>
        </w:tc>
        <w:tc>
          <w:tcPr>
            <w:tcW w:w="5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77"/>
        </w:trPr>
        <w:tc>
          <w:tcPr>
            <w:tcW w:w="6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Target Awards</w:t>
            </w:r>
          </w:p>
        </w:tc>
        <w:tc>
          <w:tcPr>
            <w:tcW w:w="560" w:type="dxa"/>
            <w:vAlign w:val="bottom"/>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Performance Factor</w:t>
            </w:r>
          </w:p>
        </w:tc>
        <w:tc>
          <w:tcPr>
            <w:tcW w:w="520" w:type="dxa"/>
            <w:vAlign w:val="bottom"/>
            <w:vMerge w:val="continue"/>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196"/>
        </w:trPr>
        <w:tc>
          <w:tcPr>
            <w:tcW w:w="6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Mr. Anthony</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Katz</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468,750</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145.0%</w:t>
            </w: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$679,688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468,750</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145.0%</w:t>
            </w:r>
          </w:p>
        </w:tc>
        <w:tc>
          <w:tcPr>
            <w:tcW w:w="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$679,688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Fisher</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145.0%</w:t>
            </w: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880" w:hanging="764"/>
        <w:spacing w:after="0" w:line="282" w:lineRule="auto"/>
        <w:tabs>
          <w:tab w:leader="none" w:pos="8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Anthony was not eligible to participate in the 2018 Long-Term Performance Plan, because he commenced employment with the Company on November 30, 2018.</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the long-term performance factor under the 2018 Long-Term Performance Plan:</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Adjusted</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Goal</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Payout</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9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Goal</w:t>
            </w:r>
          </w:p>
        </w:tc>
        <w:tc>
          <w:tcPr>
            <w:tcW w:w="120" w:type="dxa"/>
            <w:vAlign w:val="bottom"/>
          </w:tcPr>
          <w:p>
            <w:pPr>
              <w:spacing w:after="0"/>
              <w:rPr>
                <w:sz w:val="17"/>
                <w:szCs w:val="17"/>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Achievement</w:t>
            </w:r>
          </w:p>
        </w:tc>
        <w:tc>
          <w:tcPr>
            <w:tcW w:w="32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w:t>
            </w:r>
          </w:p>
        </w:tc>
        <w:tc>
          <w:tcPr>
            <w:tcW w:w="3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9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Earnings Per Share</w:t>
            </w: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92"/>
              </w:rPr>
              <w:t>6.82</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11.28</w:t>
            </w:r>
          </w:p>
        </w:tc>
        <w:tc>
          <w:tcPr>
            <w:tcW w:w="7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150.0%</w:t>
            </w:r>
          </w:p>
        </w:tc>
        <w:tc>
          <w:tcPr>
            <w:tcW w:w="1180" w:type="dxa"/>
            <w:vAlign w:val="bottom"/>
            <w:tcBorders>
              <w:top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60.0%</w:t>
            </w:r>
          </w:p>
        </w:tc>
      </w:tr>
      <w:tr>
        <w:trPr>
          <w:trHeight w:val="203"/>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Debt to Operating Cash Flow</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2"/>
              </w:rPr>
              <w:t>3.23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150.0%</w:t>
            </w:r>
          </w:p>
        </w:tc>
        <w:tc>
          <w:tcPr>
            <w:tcW w:w="1180" w:type="dxa"/>
            <w:vAlign w:val="bottom"/>
            <w:gridSpan w:val="2"/>
          </w:tcPr>
          <w:p>
            <w:pPr>
              <w:jc w:val="right"/>
              <w:ind w:right="66"/>
              <w:spacing w:after="0"/>
              <w:rPr>
                <w:sz w:val="20"/>
                <w:szCs w:val="20"/>
                <w:color w:val="auto"/>
              </w:rPr>
            </w:pPr>
            <w:r>
              <w:rPr>
                <w:rFonts w:ascii="Times New Roman" w:cs="Times New Roman" w:eastAsia="Times New Roman" w:hAnsi="Times New Roman"/>
                <w:sz w:val="16"/>
                <w:szCs w:val="16"/>
                <w:color w:val="auto"/>
              </w:rPr>
              <w:t>60.0%</w:t>
            </w:r>
          </w:p>
        </w:tc>
      </w:tr>
      <w:tr>
        <w:trPr>
          <w:trHeight w:val="203"/>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Return on Total Assets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3.44%</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150.0%</w:t>
            </w:r>
          </w:p>
        </w:tc>
        <w:tc>
          <w:tcPr>
            <w:tcW w:w="11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Revenue</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4.881 billion</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4.883 billion</w:t>
            </w:r>
          </w:p>
        </w:tc>
        <w:tc>
          <w:tcPr>
            <w:tcW w:w="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tcPr>
          <w:p>
            <w:pPr>
              <w:spacing w:after="0"/>
              <w:rPr>
                <w:sz w:val="18"/>
                <w:szCs w:val="18"/>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Overall Goal Achievement Factor</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145.0%</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Long-Term Performance Plan, in determining the long-term performance factor, the Committee made adjustments to the actual levels of achievement under each corporate performance measure to ensure that each corporate performance measure reflected the Company’s normalized operating performance in the ordinary course of business. Adjustments to average Earnings Per Share, average Debt to Operating Cash Flow, average Return on Total Assets and average Revenue, averaged over the performance period, totaled $6.02 per share, 0.66, 1.84% and $73.4 million, respectively. In general, these adjustments related to unplanned or unanticipated events and nonrecurring System Transformation items. Examples of such adjustments included the following: (i) planned results of territory acquisitions that were never completed, (ii) impacts of sales to other bottlers related to supply chain governance decisions made out of management’s control by the National Product Supply Group, (iii) impacts of certain accounting changes made during the performance period, (iv) mark-to-market adjustments required on the Company’s hedges for certain commodities such as fuel and aluminum, (v) mark-to-market adjustments required on acquisition related contingent consideration, (vi) costs related to supply chain optimization efforts and (vii) the effect of four extra days in fiscal 2020 due to a change in the Company’s fiscal year-end.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Long-Term Performance Equity Plan</w:t>
      </w:r>
    </w:p>
    <w:p>
      <w:pPr>
        <w:spacing w:after="0" w:line="116"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Mr. Harrison participates in the Long-Term Performance Equity Plan. The Long-Term Performance Equity Plan permits the Committee to design and award incentive compensation to Mr. Harrison based on the Company’s achievement of performance goals that are reflective of the Company’s long-term strategic and financial goals. Awards granted to Mr. Harrison under the Long-Term Performance Equity Plan are earned based on the Company’s attainment of performance measures specified by the Committee during a performance period. Mr. Harrison may elect to have awards earned under the Long-Term Performance Equity Plan settled in cash, shares of Class B Common Stock or a combination of cash and shares of Class B Common Stock.</w:t>
      </w:r>
    </w:p>
    <w:p>
      <w:pPr>
        <w:spacing w:after="0" w:line="6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February 2020, the Committee approved an incentive award to Mr. Harrison under the Long-Term Performance Equity Plan with a target value of $6,700,000 for the 2020-2022 three-year performance period (the “2020 Long-Term Performance Equity Plan”). The performance measures and threshold, target and maximum levels of performance and weightings for the award under the 2020 Long-Term Performance Equity Plan are identical to the performance measures and threshold, target and maximum levels of performance and weightings for awards under the 2020 Long-Term Performance Plan described above. The amount of the incentive award earned will be determined by the Committee and paid to Mr. Harrison in early 2023 based on the Company’s audited consolidated financial results for fiscal years 2020 through 2022 and any adjustments made by the Committee.</w:t>
      </w:r>
    </w:p>
    <w:p>
      <w:pPr>
        <w:spacing w:after="0" w:line="7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2018, the Committee approved the first incentive award to Mr. Harrison under the Long-Term Performance Equity Plan (the “2018 Long-Term Performance Equity Plan”). The performance measures and threshold, target and maximum levels of performance and weightings for awards under the 2018 Long-Term Performance Equity Plan were identical to the performance measures and threshold, target and maximum levels of performance and weightings for the award under the 2018 Long-Term Performance Plan described above. The amount of the incentive award earned by Mr. Harrison under the 2018 Long-Term Performance Equity Plan was calculated as shown in the table below. Mr. Harrison elected to receive the incentive award in cash.</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2018-2020 Award</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x</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Overall Goal</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Bonus Award</w:t>
            </w:r>
          </w:p>
        </w:tc>
        <w:tc>
          <w:tcPr>
            <w:tcW w:w="0" w:type="dxa"/>
            <w:vAlign w:val="bottom"/>
          </w:tcPr>
          <w:p>
            <w:pPr>
              <w:spacing w:after="0"/>
              <w:rPr>
                <w:sz w:val="1"/>
                <w:szCs w:val="1"/>
                <w:color w:val="auto"/>
              </w:rPr>
            </w:pPr>
          </w:p>
        </w:tc>
      </w:tr>
      <w:tr>
        <w:trPr>
          <w:trHeight w:val="189"/>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Target Value</w:t>
            </w:r>
          </w:p>
        </w:tc>
        <w:tc>
          <w:tcPr>
            <w:tcW w:w="32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Achievement Factor</w:t>
            </w: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19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5,850,000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186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145.0%</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8,482,500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Officer Retention and Long-Term Retention Plans</w:t>
      </w:r>
    </w:p>
    <w:p>
      <w:pPr>
        <w:spacing w:after="0" w:line="11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Historically, the Committee has emphasized retention as a key objective of the Company’s executive compensation program. The Company maintains two supplemental retirement plans—the Officer Retention Plan (the “ORP”) and the Long-Term Retention Plan (the “LTRP”)—for the purpose of attracting and retaining executive talent until retirement and promoting a long-term perspective. These plans are also provided in light of the Company’s historical practice of not using equity as a significant component of compensation (except for the CEO). The material terms of the ORP and the LTRP are described beginning on pages 47 and 49, respectively.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Mr. Harrison ceased accruing supplemental retirement benefits under the ORP when he attained age 60. The ORP provides for payments of a participant’s accrued retirement benefit following the participant’s retirement from the Company without interest or actuarial increase if payment of an ORP benefit is deferred due to continued employment past age 60.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Supplemental Savings Incentive Plan</w:t>
      </w:r>
    </w:p>
    <w:p>
      <w:pPr>
        <w:spacing w:after="0" w:line="11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Supplemental Savings Incentive Plan (the “SSIP”) allows the executive officers to defer a portion of their annual salary and of their awards under the Annual Bonus Plan, the Long-Term Performance Plan and the Long-Term Performance Equity Plan. The Company may match up to 50% of the first 6% of salary deferred. The Company may also make additional discretionary contributions to the participants’ accounts.</w:t>
      </w:r>
    </w:p>
    <w:p>
      <w:pPr>
        <w:spacing w:after="0" w:line="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his recruitment by the Company and in lieu of any awards under the ORP or the LTRP, the Committee approved annual discretionary contributions to the SSIP account of Mr. Anthony of $100,000 for each of the years 2019 through 2023. In 2020, the Committee approved additional annual discretionary contributions to the SSIP account of Mr. Anthony of $50,000 for each of the years 2020 through 2023. The annual discretionary contributions are subject to his continued employment with the Company.</w:t>
      </w:r>
    </w:p>
    <w:p>
      <w:pPr>
        <w:spacing w:after="0" w:line="7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Prior to 2006, participants could elect to receive a fixed annual return of up to 13% on their account balances. This election provided participants with an above-market rate of return and resulted in a long-term fixed liability for the Company that was not contingent on its corporate performance. For these reasons, the Committee eliminated the option to receive a fixed rate of return for all deferrals and Company contributions made on or after January 1, 2006. The fixed rate of return option was not eliminated for deferrals and Company contributions made before January 1, 2006. The material terms of the SSIP are described beginning on page 48.</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Benefits and Executive Compensation Policies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w:t>
      </w:r>
    </w:p>
    <w:p>
      <w:pPr>
        <w:spacing w:after="0" w:line="10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maintains a traditional, tax-qualified defined benefit pension plan (the “Pension Plan”) for certain non-union employees, including the named executive officers. Effective June 30, 2006, no new participants may become eligible to participate in the Pension Plan and the benefits under the Pension Plan for existing participants, including the named executive officers, were frozen. Messrs. Anthony, Katz and Fisher do not participate in the Pension Plan because their employment with the Company began after June 30, 2006.</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Savings Plan</w:t>
      </w:r>
    </w:p>
    <w:p>
      <w:pPr>
        <w:spacing w:after="0" w:line="10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maintains a tax-qualified defined contribution plan with a cash or deferred arrangement under Section 401(k) of the Internal Revenue Code for substantially all of its employees who are not part of collective bargaining agreements, including the named executive officers. Employee elective deferral contributions to the 401(k) Savings Plan are made on a pre-tax basis and are subject to contribution limitations in the Internal Revenue Code. The Company currently matches up to 100% of the first 4% of base salary deferred under the 401(k) Savings Plan. The Company may make an additional discretionary contribution equal to 100% of an additional 1% of base salary deferred under the 401(k) Savings Plan. The Company funded all of the discretionary matching contribution for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w:t>
      </w:r>
    </w:p>
    <w:p>
      <w:pPr>
        <w:spacing w:after="0" w:line="10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Company’s senior executive officers, including the named executive officers, do not have employment agreements, but they are entitled to certain payments under the various plans described in this section in connection with a termination of employment or a change in control of the Company. With respect to termination of employment, each executive officer is entitled to certain payments upon termination without cause, voluntary resignation or termination due to death or disability. The terms of the severance provisions are described beginning on page 50.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Change in control benefits are provided to ensure that in the event of a friendly or hostile change in control, the Company’s executive officers will be able to advise the Board about the potential transaction, without being unduly influenced by personal considerations, such as fear of losing their jobs as a result of a change in control.</w:t>
      </w:r>
    </w:p>
    <w:p>
      <w:pPr>
        <w:spacing w:after="0" w:line="6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Committee does not consider the change in control provisions in determining the forms or amounts of other compensation. The terms of the change in control provisions are described beginning on page 50.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Personal Benefits</w:t>
      </w:r>
    </w:p>
    <w:p>
      <w:pPr>
        <w:spacing w:after="0" w:line="10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provides personal benefits to the named executive officers that management and the Committee believe are reasonable, competitive and consistent with the Company’s overall objective of attracting and retaining executive talent. The Committee believes the value of providing these benefits to the named executive officers outweighs the cost of the benefits. The cost of these benefits to Coke Consolidated is reflected in the “All Other Compensation” column of the 2020 Summary Compensation Table on page 42.</w:t>
      </w:r>
    </w:p>
    <w:p>
      <w:pPr>
        <w:spacing w:after="0" w:line="7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is provided with an annual executive allowance. Each named executive officer has the flexibility to keep or spend the allowance and is not required to report to the Company how the allowance is spent. The Company provides the annual executive allowance to minimize decisions regarding the types of benefits provided, provide the named executive officers choice and flexibility and fix the Company’s expenses with respect to these types of benefits.</w:t>
      </w:r>
    </w:p>
    <w:p>
      <w:pPr>
        <w:spacing w:after="0" w:line="7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received an annual executive allowance for 2020. The amount of the allowance was $45,000 for Mr. Harrison, $25,000 for Messrs. Katz and Chambless and $15,000 for Messrs. Anthony and Fisher. These amounts were determined based on the Company’s annual average costs of providing historical personal benefits that were replaced by the annual executive allowance, including the costs of prior income tax reimbursements paid in connection with the historical benefits.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continues to pay long-term disability and life insurance premiums for the named executive officers.</w:t>
      </w:r>
    </w:p>
    <w:p>
      <w:pPr>
        <w:spacing w:after="0" w:line="11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Board requires the CEO to use the Company’s corporate aircraft whenever reasonable for both business and personal travel. This benefit increases the level of safety and security for Mr. Harrison and his family. Making the aircraft available to Mr. Harrison also allows him to efficiently and securely conduct business during both business and personal flights and eliminates the inefficiencies of commercial travel. The Board believes that the value of making the aircraft available to Mr. Harrison and his family, in terms of convenience, security and saving time, results in an efficient form of compensation for Mr. Harrison.</w:t>
      </w:r>
    </w:p>
    <w:p>
      <w:pPr>
        <w:spacing w:after="0" w:line="7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Other executive officers may use the Company’s corporate aircraft for personal purposes with Mr. Harrison’s permission and subject to the oversight of the Committee and the Board. Depending on availability, family members of executive officers may travel on the corporate aircraft to accompany executives on business. There is nominal or no incremental cost to the Company for these passengers.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certain elements of compensation, the Company also pays income and employment tax gross-ups to provide the full benefit of the compensation.</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08"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Committee considers the tax and accounting effects of compensation elements when designing the Company’s incentive and equity compensation plans. In order to maintain flexibility in compensating executive officers, however, the Committee has not adopted a policy that all compensation must be deductible for federal income tax purposes.</w:t>
      </w:r>
    </w:p>
    <w:p>
      <w:pPr>
        <w:spacing w:after="0" w:line="68"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Under Section 162(m) of the Internal Revenue Code, as amended by the Tax Cuts and Jobs Act of 2017, the Company may not deduct compensation in excess of $1.0 million paid to “covered individuals” (as defined in Section 162(m) which includes all of the named executive officers). Therefore, compensation in excess of $1.0 million paid to the named executive officers is not deductible by the Company for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Executive Compensation Tables</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and related narratives present the compensation for the named executive officers in the format specified by the SEC.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 2020 Summary Compensation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Change in</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Pension Value</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Stock</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Deferred</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8"/>
              </w:rPr>
              <w:t>All Other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Name and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Salary</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8"/>
              </w:rPr>
              <w:t>Bonus</w:t>
            </w:r>
          </w:p>
        </w:tc>
        <w:tc>
          <w:tcPr>
            <w:tcW w:w="88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080" w:type="dxa"/>
            <w:vAlign w:val="bottom"/>
            <w:gridSpan w:val="2"/>
            <w:vMerge w:val="continue"/>
          </w:tcPr>
          <w:p>
            <w:pPr>
              <w:spacing w:after="0"/>
              <w:rPr>
                <w:sz w:val="11"/>
                <w:szCs w:val="11"/>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2"/>
        </w:trPr>
        <w:tc>
          <w:tcPr>
            <w:tcW w:w="3960" w:type="dxa"/>
            <w:vAlign w:val="bottom"/>
            <w:gridSpan w:val="2"/>
            <w:vMerge w:val="continue"/>
          </w:tcPr>
          <w:p>
            <w:pPr>
              <w:spacing w:after="0"/>
              <w:rPr>
                <w:sz w:val="11"/>
                <w:szCs w:val="11"/>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Year</w:t>
            </w:r>
          </w:p>
        </w:tc>
        <w:tc>
          <w:tcPr>
            <w:tcW w:w="8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Awards</w:t>
            </w:r>
          </w:p>
        </w:tc>
        <w:tc>
          <w:tcPr>
            <w:tcW w:w="108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Compensation</w:t>
            </w:r>
          </w:p>
        </w:tc>
        <w:tc>
          <w:tcPr>
            <w:tcW w:w="10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6"/>
              </w:rPr>
              <w:t>Earnings</w:t>
            </w:r>
          </w:p>
        </w:tc>
        <w:tc>
          <w:tcPr>
            <w:tcW w:w="108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Compensation</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Principal Position</w:t>
            </w:r>
          </w:p>
        </w:tc>
        <w:tc>
          <w:tcPr>
            <w:tcW w:w="520" w:type="dxa"/>
            <w:vAlign w:val="bottom"/>
            <w:gridSpan w:val="2"/>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color w:val="auto"/>
              </w:rPr>
              <w:t>(b)</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(e)</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(f)</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(h)</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(i)</w:t>
            </w:r>
          </w:p>
        </w:tc>
        <w:tc>
          <w:tcPr>
            <w:tcW w:w="0" w:type="dxa"/>
            <w:vAlign w:val="bottom"/>
          </w:tcPr>
          <w:p>
            <w:pPr>
              <w:spacing w:after="0"/>
              <w:rPr>
                <w:sz w:val="1"/>
                <w:szCs w:val="1"/>
                <w:color w:val="auto"/>
              </w:rPr>
            </w:pPr>
          </w:p>
        </w:tc>
      </w:tr>
      <w:tr>
        <w:trPr>
          <w:trHeight w:val="182"/>
        </w:trPr>
        <w:tc>
          <w:tcPr>
            <w:tcW w:w="38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J. Frank Harrison, III</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6"/>
                <w:szCs w:val="16"/>
                <w:color w:val="auto"/>
                <w:w w:val="93"/>
              </w:rPr>
              <w:t>2020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1,197,590</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10,390,506</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473,104</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405,992</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12,467,192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of the Board and</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1,151,114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8,708,743</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1,445,385</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11,707,624</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2018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1,123,859</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7,551,200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979,750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117,681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1,846,153</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11,618,643</w:t>
            </w: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 Scott Anthony</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2020</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543,123</w:t>
            </w: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648,979</w:t>
            </w: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204,372</w:t>
            </w: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1,396,474</w:t>
            </w: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75,000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482,224</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213,380</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1,295,604</w:t>
            </w:r>
          </w:p>
        </w:tc>
        <w:tc>
          <w:tcPr>
            <w:tcW w:w="0" w:type="dxa"/>
            <w:vAlign w:val="bottom"/>
          </w:tcPr>
          <w:p>
            <w:pPr>
              <w:spacing w:after="0"/>
              <w:rPr>
                <w:sz w:val="1"/>
                <w:szCs w:val="1"/>
                <w:color w:val="auto"/>
              </w:rPr>
            </w:pPr>
          </w:p>
        </w:tc>
      </w:tr>
      <w:tr>
        <w:trPr>
          <w:trHeight w:val="21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Chief Financial Officer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 Katz</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2020</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764,346</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2,124,208</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156,250</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308,489</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3,353,293</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President and</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1,584,012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156,250</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275,379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2,715,641</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Operating Officer</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2018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617,531</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857,855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210,300</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1,841,936</w:t>
            </w: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G. Chambless</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2020</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662,739</w:t>
            </w: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1,471,597</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279,354</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204,985</w:t>
            </w: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2,618,675</w:t>
            </w: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637,019</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1,214,505</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290,044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194,906</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2,336,474</w:t>
            </w:r>
          </w:p>
        </w:tc>
        <w:tc>
          <w:tcPr>
            <w:tcW w:w="0" w:type="dxa"/>
            <w:vAlign w:val="bottom"/>
          </w:tcPr>
          <w:p>
            <w:pPr>
              <w:spacing w:after="0"/>
              <w:rPr>
                <w:sz w:val="1"/>
                <w:szCs w:val="1"/>
                <w:color w:val="auto"/>
              </w:rPr>
            </w:pPr>
          </w:p>
        </w:tc>
      </w:tr>
      <w:tr>
        <w:trPr>
          <w:trHeight w:val="220"/>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Franchise Beverage Operations</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2018</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617,531</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817,191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199,499</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193,585</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1,827,806</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 Beauregarde Fisher III</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593,814</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1,318,550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313,659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2,226,023</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Executive Vice President,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Salary (Column (c))</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shown in the “Salary” column include amounts deferred by the named executive officers under the 401(k) Savings Plan and the SSIP.</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 (Column (d))</w:t>
      </w:r>
    </w:p>
    <w:p>
      <w:pPr>
        <w:spacing w:after="0" w:line="10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amount shown in the “Bonus” column for Mr. Anthony for 2019 represents the second installment payment of the $150,000 sign-on bonus awarded to Mr. Anthony in connection with the commencement of employment with the Company on November 30, 2018. Mr. Anthony received the first installment payment of the sign-on bonus in 2018.</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Awards (Column (e))</w:t>
      </w:r>
    </w:p>
    <w:p>
      <w:pPr>
        <w:spacing w:after="0" w:line="10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amount shown in the “Stock Awards” column for Mr. Harrison for 2018 represents the grant date fair value of 40,000 performance units awarded to Mr. Harrison, subject to vesting, in 2018. The grant date fair value of the award was computed in accordance with Financial Accounting Standards Board Accounting Standards Codification Topic 718 based on the Committee’s expectations as of the grant date regarding the probable level of vesting of the awards. For purposes of calculating the grant date fair value, the Committee assumed the maximum level of vesting of the award. Note 20 to the consolidated financial statements included in the Company’s Annual Report on Form 10-K for the fiscal year ended December 30, 2018 contains more information about the Company’s accounting for the performance unit award.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 (Column (f))</w:t>
      </w:r>
    </w:p>
    <w:p>
      <w:pPr>
        <w:spacing w:after="0" w:line="10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amounts shown in the “Non-Equity Incentive Plan Compensation” column represent (i) for the CEO, the performance-based cash awards earned under the 2020 Annual Bonus Plan and the Long-Term Performance Equity Plan for the 2018-2020 three-year performance period and (ii) for the other named executive officers, the performance-based cash awards earned under the 2020 Annual Bonus Plan and the 2018 Long-Term Performance Plan,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right"/>
              <w:ind w:right="264"/>
              <w:spacing w:after="0"/>
              <w:rPr>
                <w:sz w:val="20"/>
                <w:szCs w:val="20"/>
                <w:color w:val="auto"/>
              </w:rPr>
            </w:pPr>
            <w:r>
              <w:rPr>
                <w:rFonts w:ascii="Arial" w:cs="Arial" w:eastAsia="Arial" w:hAnsi="Arial"/>
                <w:sz w:val="14"/>
                <w:szCs w:val="14"/>
                <w:b w:val="1"/>
                <w:bCs w:val="1"/>
                <w:color w:val="auto"/>
              </w:rPr>
              <w:t>2018-2020</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Long-Term</w:t>
            </w:r>
          </w:p>
        </w:tc>
        <w:tc>
          <w:tcPr>
            <w:tcW w:w="1220" w:type="dxa"/>
            <w:vAlign w:val="bottom"/>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4"/>
                <w:szCs w:val="14"/>
                <w:color w:val="auto"/>
              </w:rPr>
            </w:pP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Performance Equity</w:t>
            </w:r>
          </w:p>
        </w:tc>
        <w:tc>
          <w:tcPr>
            <w:tcW w:w="18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Long-Term</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Annual Bonus Plan</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Plan</w:t>
            </w:r>
          </w:p>
        </w:tc>
        <w:tc>
          <w:tcPr>
            <w:tcW w:w="1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Performance Plan</w:t>
            </w: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4300" w:type="dxa"/>
            <w:vAlign w:val="bottom"/>
            <w:gridSpan w:val="2"/>
            <w:vMerge w:val="continue"/>
          </w:tcPr>
          <w:p>
            <w:pPr>
              <w:spacing w:after="0"/>
              <w:rPr>
                <w:sz w:val="15"/>
                <w:szCs w:val="15"/>
                <w:color w:val="auto"/>
              </w:rPr>
            </w:pPr>
          </w:p>
        </w:tc>
        <w:tc>
          <w:tcPr>
            <w:tcW w:w="1320" w:type="dxa"/>
            <w:vAlign w:val="bottom"/>
          </w:tcPr>
          <w:p>
            <w:pPr>
              <w:jc w:val="right"/>
              <w:ind w:right="48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380" w:type="dxa"/>
            <w:vAlign w:val="bottom"/>
          </w:tcPr>
          <w:p>
            <w:pPr>
              <w:jc w:val="right"/>
              <w:ind w:right="524"/>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220" w:type="dxa"/>
            <w:vAlign w:val="bottom"/>
          </w:tcPr>
          <w:p>
            <w:pPr>
              <w:jc w:val="right"/>
              <w:ind w:right="44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78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6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1,908,006</w:t>
            </w:r>
          </w:p>
        </w:tc>
        <w:tc>
          <w:tcPr>
            <w:tcW w:w="6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8,482,500</w:t>
            </w:r>
          </w:p>
        </w:tc>
        <w:tc>
          <w:tcPr>
            <w:tcW w:w="6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10,390,506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648,979</w:t>
            </w:r>
          </w:p>
        </w:tc>
        <w:tc>
          <w:tcPr>
            <w:tcW w:w="660" w:type="dxa"/>
            <w:vAlign w:val="bottom"/>
          </w:tcPr>
          <w:p>
            <w:pPr>
              <w:spacing w:after="0"/>
              <w:rPr>
                <w:sz w:val="17"/>
                <w:szCs w:val="17"/>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1,444,520</w:t>
            </w:r>
          </w:p>
        </w:tc>
        <w:tc>
          <w:tcPr>
            <w:tcW w:w="6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679,688</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2,124,508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791,909</w:t>
            </w:r>
          </w:p>
        </w:tc>
        <w:tc>
          <w:tcPr>
            <w:tcW w:w="660" w:type="dxa"/>
            <w:vAlign w:val="bottom"/>
          </w:tcPr>
          <w:p>
            <w:pPr>
              <w:spacing w:after="0"/>
              <w:rPr>
                <w:sz w:val="17"/>
                <w:szCs w:val="17"/>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679,688</w:t>
            </w:r>
          </w:p>
        </w:tc>
        <w:tc>
          <w:tcPr>
            <w:tcW w:w="6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1,471,597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709,550</w:t>
            </w:r>
          </w:p>
        </w:tc>
        <w:tc>
          <w:tcPr>
            <w:tcW w:w="6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609,000</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Pension Value and Nonqualified Deferred Compensation Earnings (Column (g))</w:t>
      </w:r>
    </w:p>
    <w:p>
      <w:pPr>
        <w:spacing w:after="0" w:line="10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breaks out the amounts shown in the “Change in Pension Value and Nonqualified Deferred Compensation Earnings” column for 2020: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Nonqualified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Pension Plan</w:t>
            </w:r>
          </w:p>
        </w:tc>
        <w:tc>
          <w:tcPr>
            <w:tcW w:w="17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Officer Retention Plan</w:t>
            </w: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6200" w:type="dxa"/>
            <w:vAlign w:val="bottom"/>
            <w:gridSpan w:val="2"/>
            <w:vMerge w:val="continue"/>
          </w:tcPr>
          <w:p>
            <w:pPr>
              <w:spacing w:after="0"/>
              <w:rPr>
                <w:sz w:val="15"/>
                <w:szCs w:val="15"/>
                <w:color w:val="auto"/>
              </w:rPr>
            </w:pPr>
          </w:p>
        </w:tc>
        <w:tc>
          <w:tcPr>
            <w:tcW w:w="920" w:type="dxa"/>
            <w:vAlign w:val="bottom"/>
          </w:tcPr>
          <w:p>
            <w:pPr>
              <w:jc w:val="right"/>
              <w:ind w:right="223"/>
              <w:spacing w:after="0" w:line="18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520" w:type="dxa"/>
            <w:vAlign w:val="bottom"/>
          </w:tcPr>
          <w:p>
            <w:pPr>
              <w:jc w:val="right"/>
              <w:ind w:right="523"/>
              <w:spacing w:after="0" w:line="18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26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260" w:type="dxa"/>
            <w:vAlign w:val="bottom"/>
          </w:tcPr>
          <w:p>
            <w:pPr>
              <w:spacing w:after="0"/>
              <w:rPr>
                <w:sz w:val="15"/>
                <w:szCs w:val="15"/>
                <w:color w:val="auto"/>
              </w:rPr>
            </w:pPr>
          </w:p>
        </w:tc>
        <w:tc>
          <w:tcPr>
            <w:tcW w:w="580" w:type="dxa"/>
            <w:vAlign w:val="bottom"/>
          </w:tcPr>
          <w:p>
            <w:pPr>
              <w:jc w:val="right"/>
              <w:ind w:right="12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186,860</w:t>
            </w:r>
          </w:p>
        </w:tc>
        <w:tc>
          <w:tcPr>
            <w:tcW w:w="2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286,244</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473,104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156,250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70,508</w:t>
            </w:r>
          </w:p>
        </w:tc>
        <w:tc>
          <w:tcPr>
            <w:tcW w:w="240" w:type="dxa"/>
            <w:vAlign w:val="bottom"/>
          </w:tcPr>
          <w:p>
            <w:pPr>
              <w:spacing w:after="0"/>
              <w:rPr>
                <w:sz w:val="17"/>
                <w:szCs w:val="17"/>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183,929</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24,917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right="400" w:hanging="764"/>
        <w:spacing w:after="0" w:line="266" w:lineRule="auto"/>
        <w:tabs>
          <w:tab w:leader="none" w:pos="8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shown in this column reflect the aggregate increase in the present value of each named executive officer’s benefit under the Pension Plan from the beginning of the fiscal year to the end of the fiscal year. Additional information regarding each named executive officer’s accumulated benefits under the Pension Plan is presented beginning on page 46.</w:t>
      </w:r>
    </w:p>
    <w:p>
      <w:pPr>
        <w:spacing w:after="0" w:line="81" w:lineRule="exact"/>
        <w:rPr>
          <w:rFonts w:ascii="Times New Roman" w:cs="Times New Roman" w:eastAsia="Times New Roman" w:hAnsi="Times New Roman"/>
          <w:sz w:val="15"/>
          <w:szCs w:val="15"/>
          <w:color w:val="auto"/>
        </w:rPr>
      </w:pPr>
    </w:p>
    <w:p>
      <w:pPr>
        <w:ind w:left="880" w:right="400" w:hanging="764"/>
        <w:spacing w:after="0" w:line="266" w:lineRule="auto"/>
        <w:tabs>
          <w:tab w:leader="none" w:pos="8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shown in this column reflect the aggregate increase in the present value of each named executive officer’s benefit under the ORP from the beginning of the fiscal year to the end of the fiscal year. Additional information regarding each named executive officer’s accumulated benefits under the ORP is presented beginning on page 47.</w:t>
      </w:r>
    </w:p>
    <w:p>
      <w:pPr>
        <w:spacing w:after="0" w:line="81" w:lineRule="exact"/>
        <w:rPr>
          <w:rFonts w:ascii="Times New Roman" w:cs="Times New Roman" w:eastAsia="Times New Roman" w:hAnsi="Times New Roman"/>
          <w:sz w:val="15"/>
          <w:szCs w:val="15"/>
          <w:color w:val="auto"/>
        </w:rPr>
      </w:pPr>
    </w:p>
    <w:p>
      <w:pPr>
        <w:jc w:val="both"/>
        <w:ind w:left="880" w:right="120" w:hanging="764"/>
        <w:spacing w:after="0" w:line="289" w:lineRule="auto"/>
        <w:tabs>
          <w:tab w:leader="none" w:pos="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amounts shown in this column reflect the portion of annual earnings on each named executive officer’s principal balance under the SSIP that is deemed to be “above-market interest” under the SEC rules. Additional information regarding the SSIP is presented beginning on page 48. The SSIP was amended in 2005 to eliminate the payment of above-market interest on salary deferrals and contributions made after 2005.</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Other Compensation (Column (h))</w:t>
      </w:r>
    </w:p>
    <w:p>
      <w:pPr>
        <w:spacing w:after="0" w:line="10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table below describes each component of the “All Other Compensation” column for 2020. The amounts shown reflect the incremental cost to Coke Consolidated for each of the benefits.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Company</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Personal</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Contributions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to Defined</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Life</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Tax</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Executive</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Use of</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Contribution</w:t>
            </w:r>
          </w:p>
        </w:tc>
        <w:tc>
          <w:tcPr>
            <w:tcW w:w="9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Corporate</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Other</w:t>
            </w: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Plans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7"/>
              </w:rPr>
              <w:t>Insurance</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Gross-Ups</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Allowance</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Aircraft</w:t>
            </w:r>
          </w:p>
        </w:tc>
        <w:tc>
          <w:tcPr>
            <w:tcW w:w="7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20" w:type="dxa"/>
            <w:vAlign w:val="bottom"/>
            <w:gridSpan w:val="2"/>
            <w:vMerge w:val="continue"/>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64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500" w:type="dxa"/>
            <w:vAlign w:val="bottom"/>
          </w:tcPr>
          <w:p>
            <w:pPr>
              <w:jc w:val="right"/>
              <w:ind w:right="111"/>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580" w:type="dxa"/>
            <w:vAlign w:val="bottom"/>
          </w:tcPr>
          <w:p>
            <w:pPr>
              <w:jc w:val="right"/>
              <w:ind w:right="1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Mr. Harrison</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50,966</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93"/>
              </w:rPr>
              <w:t>10,668</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41,754</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45,000</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249,399</w:t>
            </w: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8,205</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405,992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Mr. Anthony</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180,901</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5,539</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204,372</w:t>
            </w: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Katz</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247,263</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7,122</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24,150</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308,489</w:t>
            </w:r>
          </w:p>
        </w:tc>
        <w:tc>
          <w:tcPr>
            <w:tcW w:w="0" w:type="dxa"/>
            <w:vAlign w:val="bottom"/>
          </w:tcPr>
          <w:p>
            <w:pPr>
              <w:spacing w:after="0"/>
              <w:rPr>
                <w:sz w:val="1"/>
                <w:szCs w:val="1"/>
                <w:color w:val="auto"/>
              </w:rPr>
            </w:pPr>
          </w:p>
        </w:tc>
      </w:tr>
      <w:tr>
        <w:trPr>
          <w:trHeight w:val="148"/>
        </w:trPr>
        <w:tc>
          <w:tcPr>
            <w:tcW w:w="4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Mr. Chambless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144,552</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9,947</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16,808</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8,678</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204,985</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Fisher</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290,795</w:t>
            </w: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4,097</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313,659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describes each of the benefits reflected in the above table:</w:t>
      </w:r>
    </w:p>
    <w:p>
      <w:pPr>
        <w:spacing w:after="0" w:line="11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Company Contributions to Defined Contribution Plans</w:t>
      </w:r>
      <w:r>
        <w:rPr>
          <w:rFonts w:ascii="Times New Roman" w:cs="Times New Roman" w:eastAsia="Times New Roman" w:hAnsi="Times New Roman"/>
          <w:sz w:val="18"/>
          <w:szCs w:val="18"/>
          <w:color w:val="auto"/>
        </w:rPr>
        <w:t>. The Company makes matching and discretionary contributions to the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accounts under the SSIP and the 401(k) Savings Plan and to the accounts of the named executive officers (other than Messrs. Harrison and Anthony) under the LTRP. The Company currently matches up to 50% of the first 6% of base salary deferred into the SSIP. The Company may also make discretionary contributions to participants’ SSIP accounts. The Company makes matching contributions to the named executive officers’ accounts under the 401(k) Savings Plan of up to 5% of each named executive officer’s eligible compensation based on the Company’s 2020 performance. The Company’s matching contribution is comprised of a 4% fixed component and a 1% discretionary component. The Company funded all of the discretionary matching contribution for 2020. The amount of the annual contributions to the LTRP is determined based on each named executive officer’s position and level of responsibility, performance and job tenure, and is specified in an individual participation agreement with the named executive officer at the time the named executive officer commences participation in the LTRP.</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w:t>
      </w:r>
      <w:r>
        <w:rPr>
          <w:rFonts w:ascii="Times New Roman" w:cs="Times New Roman" w:eastAsia="Times New Roman" w:hAnsi="Times New Roman"/>
          <w:sz w:val="18"/>
          <w:szCs w:val="18"/>
          <w:color w:val="auto"/>
        </w:rPr>
        <w:t>. The Company pays excess group life insurance and individual life insurance for certain named executive officers.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Tax Gross-Ups</w:t>
      </w:r>
      <w:r>
        <w:rPr>
          <w:rFonts w:ascii="Times New Roman" w:cs="Times New Roman" w:eastAsia="Times New Roman" w:hAnsi="Times New Roman"/>
          <w:sz w:val="18"/>
          <w:szCs w:val="18"/>
          <w:color w:val="auto"/>
        </w:rPr>
        <w:t>. The Company pays income tax and employment tax gross-ups with respect to certain long-term disability and life insurance premiums,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use of corporate aircraft and social security and Medicare tax gross-ups with respect to the increase in vested benefits in the ORP.</w:t>
      </w:r>
    </w:p>
    <w:p>
      <w:pPr>
        <w:spacing w:after="0" w:line="4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Executive Allowance</w:t>
      </w:r>
      <w:r>
        <w:rPr>
          <w:rFonts w:ascii="Times New Roman" w:cs="Times New Roman" w:eastAsia="Times New Roman" w:hAnsi="Times New Roman"/>
          <w:sz w:val="18"/>
          <w:szCs w:val="18"/>
          <w:color w:val="auto"/>
        </w:rPr>
        <w:t>. The annual executive allowance is intended to establish an equitable distribution among the executive group of the monies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spent on executive perquisites. Each executive officer has the flexibility to keep or spend the allowance and is not required to report to the Company how the allowance is spent.</w:t>
      </w:r>
    </w:p>
    <w:p>
      <w:pPr>
        <w:spacing w:after="0" w:line="63" w:lineRule="exact"/>
        <w:rPr>
          <w:sz w:val="20"/>
          <w:szCs w:val="20"/>
          <w:color w:val="auto"/>
        </w:rPr>
      </w:pPr>
    </w:p>
    <w:p>
      <w:pPr>
        <w:ind w:left="120" w:right="1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Personal Use of Corporate Aircraft</w:t>
      </w:r>
      <w:r>
        <w:rPr>
          <w:rFonts w:ascii="Times New Roman" w:cs="Times New Roman" w:eastAsia="Times New Roman" w:hAnsi="Times New Roman"/>
          <w:sz w:val="18"/>
          <w:szCs w:val="18"/>
          <w:color w:val="auto"/>
        </w:rPr>
        <w:t>. The incremental cost of personal use of the Company’s corporate aircraft is calculated based on the average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fuel, crew travel, on-board catering, trip-related maintenance, landing fees and trip-related hangar and parking costs and other similar variable costs. Fixed costs that do not change based on usage, such as pilot salaries, home hangar expenses and general taxes and insurance are excluded from the incremental cost calculation. If an aircraft flies empty before picking up or dropping off a passenger flying for personal reasons, this “deadhead” segment is included in the incremental cost of the personal use.</w:t>
      </w:r>
    </w:p>
    <w:p>
      <w:pPr>
        <w:spacing w:after="0" w:line="7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color w:val="auto"/>
        </w:rPr>
        <w:t>. Other is comprised of premiums for supplemental long-term disability insurance and directors’ fees paid by manufacturing cooperatives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Coca-Cola bottlers in which the Company is a member to Mr. Katz for his services as a director of such cooperatives. Mr. Katz no longer serves as a director of the cooperatives and will not receive any directors’ fees in 2021.</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II. 2020 Grants of Plan-Based Awards</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grants of plan-based awards made to the named executive officers in February 2020:</w:t>
      </w:r>
    </w:p>
    <w:p>
      <w:pPr>
        <w:spacing w:after="0" w:line="246" w:lineRule="exact"/>
        <w:rPr>
          <w:sz w:val="20"/>
          <w:szCs w:val="20"/>
          <w:color w:val="auto"/>
        </w:rPr>
      </w:pPr>
    </w:p>
    <w:p>
      <w:pPr>
        <w:jc w:val="center"/>
        <w:ind w:left="7560"/>
        <w:spacing w:after="0"/>
        <w:rPr>
          <w:sz w:val="20"/>
          <w:szCs w:val="20"/>
          <w:color w:val="auto"/>
        </w:rPr>
      </w:pPr>
      <w:r>
        <w:rPr>
          <w:rFonts w:ascii="Arial" w:cs="Arial" w:eastAsia="Arial" w:hAnsi="Arial"/>
          <w:sz w:val="13"/>
          <w:szCs w:val="13"/>
          <w:b w:val="1"/>
          <w:bCs w:val="1"/>
          <w:color w:val="auto"/>
        </w:rPr>
        <w:t>Estimated Possible</w:t>
      </w:r>
    </w:p>
    <w:p>
      <w:pPr>
        <w:jc w:val="center"/>
        <w:ind w:left="7560"/>
        <w:spacing w:after="0" w:line="222" w:lineRule="auto"/>
        <w:rPr>
          <w:sz w:val="20"/>
          <w:szCs w:val="20"/>
          <w:color w:val="auto"/>
        </w:rPr>
      </w:pPr>
      <w:r>
        <w:rPr>
          <w:rFonts w:ascii="Arial" w:cs="Arial" w:eastAsia="Arial" w:hAnsi="Arial"/>
          <w:sz w:val="13"/>
          <w:szCs w:val="13"/>
          <w:b w:val="1"/>
          <w:bCs w:val="1"/>
          <w:color w:val="auto"/>
        </w:rPr>
        <w:t>Payouts Under Non-Equity</w:t>
      </w:r>
    </w:p>
    <w:p>
      <w:pPr>
        <w:jc w:val="center"/>
        <w:ind w:left="7560"/>
        <w:spacing w:after="0" w:line="226" w:lineRule="auto"/>
        <w:rPr>
          <w:sz w:val="20"/>
          <w:szCs w:val="20"/>
          <w:color w:val="auto"/>
        </w:rPr>
      </w:pPr>
      <w:r>
        <w:rPr>
          <w:rFonts w:ascii="Arial" w:cs="Arial" w:eastAsia="Arial" w:hAnsi="Arial"/>
          <w:sz w:val="13"/>
          <w:szCs w:val="13"/>
          <w:b w:val="1"/>
          <w:bCs w:val="1"/>
          <w:color w:val="auto"/>
        </w:rPr>
        <w:t>Incentive Plan Awards</w:t>
      </w:r>
    </w:p>
    <w:tbl>
      <w:tblPr>
        <w:tblLayout w:type="fixed"/>
        <w:tblInd w:w="120" w:type="dxa"/>
        <w:tblCellMar>
          <w:top w:w="0" w:type="dxa"/>
          <w:left w:w="0" w:type="dxa"/>
          <w:bottom w:w="0" w:type="dxa"/>
          <w:right w:w="0" w:type="dxa"/>
        </w:tblCellMar>
      </w:tblPr>
      <w:tr>
        <w:trPr>
          <w:trHeight w:val="105"/>
        </w:trPr>
        <w:tc>
          <w:tcPr>
            <w:tcW w:w="6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Plan</w:t>
            </w:r>
            <w:r>
              <w:rPr>
                <w:rFonts w:ascii="Arial" w:cs="Arial" w:eastAsia="Arial" w:hAnsi="Arial"/>
                <w:sz w:val="10"/>
                <w:szCs w:val="10"/>
                <w:b w:val="1"/>
                <w:bCs w:val="1"/>
                <w:color w:val="auto"/>
              </w:rPr>
              <w:t>(1)</w:t>
            </w:r>
          </w:p>
        </w:tc>
        <w:tc>
          <w:tcPr>
            <w:tcW w:w="1260" w:type="dxa"/>
            <w:vAlign w:val="bottom"/>
            <w:tcBorders>
              <w:top w:val="single" w:sz="8" w:color="auto"/>
            </w:tcBorders>
            <w:gridSpan w:val="2"/>
          </w:tcPr>
          <w:p>
            <w:pPr>
              <w:jc w:val="right"/>
              <w:ind w:right="500"/>
              <w:spacing w:after="0" w:line="105" w:lineRule="exact"/>
              <w:rPr>
                <w:sz w:val="20"/>
                <w:szCs w:val="20"/>
                <w:color w:val="auto"/>
              </w:rPr>
            </w:pPr>
            <w:r>
              <w:rPr>
                <w:rFonts w:ascii="Arial" w:cs="Arial" w:eastAsia="Arial" w:hAnsi="Arial"/>
                <w:sz w:val="12"/>
                <w:szCs w:val="12"/>
                <w:b w:val="1"/>
                <w:bCs w:val="1"/>
                <w:color w:val="auto"/>
              </w:rPr>
              <w:t>Threshold</w:t>
            </w:r>
          </w:p>
        </w:tc>
        <w:tc>
          <w:tcPr>
            <w:tcW w:w="1240" w:type="dxa"/>
            <w:vAlign w:val="bottom"/>
            <w:tcBorders>
              <w:top w:val="single" w:sz="8" w:color="auto"/>
            </w:tcBorders>
            <w:gridSpan w:val="2"/>
          </w:tcPr>
          <w:p>
            <w:pPr>
              <w:jc w:val="right"/>
              <w:ind w:right="600"/>
              <w:spacing w:after="0" w:line="105" w:lineRule="exact"/>
              <w:rPr>
                <w:sz w:val="20"/>
                <w:szCs w:val="20"/>
                <w:color w:val="auto"/>
              </w:rPr>
            </w:pPr>
            <w:r>
              <w:rPr>
                <w:rFonts w:ascii="Arial" w:cs="Arial" w:eastAsia="Arial" w:hAnsi="Arial"/>
                <w:sz w:val="12"/>
                <w:szCs w:val="12"/>
                <w:b w:val="1"/>
                <w:bCs w:val="1"/>
                <w:color w:val="auto"/>
              </w:rPr>
              <w:t>Target</w:t>
            </w:r>
          </w:p>
        </w:tc>
        <w:tc>
          <w:tcPr>
            <w:tcW w:w="880" w:type="dxa"/>
            <w:vAlign w:val="bottom"/>
            <w:tcBorders>
              <w:top w:val="single" w:sz="8" w:color="auto"/>
            </w:tcBorders>
          </w:tcPr>
          <w:p>
            <w:pPr>
              <w:jc w:val="right"/>
              <w:ind w:right="62"/>
              <w:spacing w:after="0" w:line="105" w:lineRule="exact"/>
              <w:rPr>
                <w:sz w:val="20"/>
                <w:szCs w:val="20"/>
                <w:color w:val="auto"/>
              </w:rPr>
            </w:pPr>
            <w:r>
              <w:rPr>
                <w:rFonts w:ascii="Arial" w:cs="Arial" w:eastAsia="Arial" w:hAnsi="Arial"/>
                <w:sz w:val="12"/>
                <w:szCs w:val="12"/>
                <w:b w:val="1"/>
                <w:bCs w:val="1"/>
                <w:color w:val="auto"/>
              </w:rPr>
              <w:t>Maximum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7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00" w:type="dxa"/>
            <w:vAlign w:val="bottom"/>
          </w:tcPr>
          <w:p>
            <w:pPr>
              <w:jc w:val="right"/>
              <w:ind w:right="22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360" w:type="dxa"/>
            <w:vAlign w:val="bottom"/>
          </w:tcPr>
          <w:p>
            <w:pPr>
              <w:spacing w:after="0"/>
              <w:rPr>
                <w:sz w:val="13"/>
                <w:szCs w:val="13"/>
                <w:color w:val="auto"/>
              </w:rPr>
            </w:pPr>
          </w:p>
        </w:tc>
        <w:tc>
          <w:tcPr>
            <w:tcW w:w="880" w:type="dxa"/>
            <w:vAlign w:val="bottom"/>
          </w:tcPr>
          <w:p>
            <w:pPr>
              <w:jc w:val="right"/>
              <w:ind w:right="22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w:t>
            </w:r>
          </w:p>
        </w:tc>
        <w:tc>
          <w:tcPr>
            <w:tcW w:w="360" w:type="dxa"/>
            <w:vAlign w:val="bottom"/>
          </w:tcPr>
          <w:p>
            <w:pPr>
              <w:spacing w:after="0"/>
              <w:rPr>
                <w:sz w:val="13"/>
                <w:szCs w:val="13"/>
                <w:color w:val="auto"/>
              </w:rPr>
            </w:pPr>
          </w:p>
        </w:tc>
        <w:tc>
          <w:tcPr>
            <w:tcW w:w="880" w:type="dxa"/>
            <w:vAlign w:val="bottom"/>
          </w:tcPr>
          <w:p>
            <w:pPr>
              <w:jc w:val="right"/>
              <w:ind w:right="22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Mr. Harrison</w:t>
            </w:r>
          </w:p>
        </w:tc>
        <w:tc>
          <w:tcPr>
            <w:tcW w:w="3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ABP</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118,657</w:t>
            </w: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1,186,571</w:t>
            </w: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2,669,784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LTPEP</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670,000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6,700,000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ABP</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40,359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403,594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908,086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LTPP</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40,359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403,594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ABP</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77,000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LTPP</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77,000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ABP</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49,248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492,480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LTPP</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49,248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492,480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ABP</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44,126</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441,263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LTPP</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44,126</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441,263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661,894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hanging="764"/>
        <w:spacing w:after="0"/>
        <w:tabs>
          <w:tab w:leader="none" w:pos="8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Incentive award opportunities were granted under the following plans in 2020:</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ABP</w:t>
            </w:r>
          </w:p>
        </w:tc>
        <w:tc>
          <w:tcPr>
            <w:tcW w:w="3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2020 Annual Bonus Plan</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LTPEP</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2020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Long-Term Performance Equity Plan</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LTPP</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2020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Performance Plan</w:t>
            </w:r>
          </w:p>
        </w:tc>
      </w:tr>
    </w:tbl>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material terms of each plan are described in the “Compensation Discussion and Analysis” section beginning on page 30.</w:t>
      </w:r>
    </w:p>
    <w:p>
      <w:pPr>
        <w:spacing w:after="0" w:line="131" w:lineRule="exact"/>
        <w:rPr>
          <w:sz w:val="20"/>
          <w:szCs w:val="20"/>
          <w:color w:val="auto"/>
        </w:rPr>
      </w:pPr>
    </w:p>
    <w:p>
      <w:pPr>
        <w:ind w:left="880" w:right="240" w:hanging="764"/>
        <w:spacing w:after="0" w:line="282" w:lineRule="auto"/>
        <w:tabs>
          <w:tab w:leader="none" w:pos="8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threshold award amounts shown for the ABP, the LTPEP and the LTPP are equal to 50% of the lowest weighted performance measure. The lowest weighted performance measure under the ABP, the LTPEP and the LTPP was 20%.</w:t>
      </w:r>
    </w:p>
    <w:p>
      <w:pPr>
        <w:spacing w:after="0" w:line="67" w:lineRule="exact"/>
        <w:rPr>
          <w:rFonts w:ascii="Times New Roman" w:cs="Times New Roman" w:eastAsia="Times New Roman" w:hAnsi="Times New Roman"/>
          <w:sz w:val="15"/>
          <w:szCs w:val="15"/>
          <w:color w:val="auto"/>
        </w:rPr>
      </w:pPr>
    </w:p>
    <w:p>
      <w:pPr>
        <w:ind w:left="880" w:hanging="764"/>
        <w:spacing w:after="0"/>
        <w:tabs>
          <w:tab w:leader="none" w:pos="8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target award amounts shown for the ABP were computed using an individual performance factor of 1.0.</w:t>
      </w:r>
    </w:p>
    <w:p>
      <w:pPr>
        <w:spacing w:after="0" w:line="130" w:lineRule="exact"/>
        <w:rPr>
          <w:rFonts w:ascii="Times New Roman" w:cs="Times New Roman" w:eastAsia="Times New Roman" w:hAnsi="Times New Roman"/>
          <w:sz w:val="15"/>
          <w:szCs w:val="15"/>
          <w:color w:val="auto"/>
        </w:rPr>
      </w:pPr>
    </w:p>
    <w:p>
      <w:pPr>
        <w:ind w:left="880" w:hanging="764"/>
        <w:spacing w:after="0"/>
        <w:tabs>
          <w:tab w:leader="none" w:pos="8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maximum award amounts shown for the ABP were computed using the maximum individual performance factor of 1.5.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III. Defined Benefit Plans</w:t>
      </w:r>
    </w:p>
    <w:p>
      <w:pPr>
        <w:spacing w:after="0" w:line="11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maintains the Pension Plan, a traditional, tax-qualified defined benefit pension plan for certain non-union employees, including the named executive officers. On June 30, 2006, the Pension Plan stopped accepting new participants and the benefits under the Pension Plan for existing participants were frozen. The Company also maintains the ORP, a supplemental nonqualified defined benefit plan, for key executives, including certain of the named executive officers. In March 2014, the Company stopped granting new awards of supplemental retirement benefits under the ORP.</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2"/>
            <w:vMerge w:val="restart"/>
          </w:tcPr>
          <w:p>
            <w:pPr>
              <w:jc w:val="center"/>
              <w:ind w:right="560"/>
              <w:spacing w:after="0"/>
              <w:rPr>
                <w:sz w:val="20"/>
                <w:szCs w:val="20"/>
                <w:color w:val="auto"/>
              </w:rPr>
            </w:pPr>
            <w:r>
              <w:rPr>
                <w:rFonts w:ascii="Arial" w:cs="Arial" w:eastAsia="Arial" w:hAnsi="Arial"/>
                <w:sz w:val="13"/>
                <w:szCs w:val="13"/>
                <w:b w:val="1"/>
                <w:bCs w:val="1"/>
                <w:color w:val="auto"/>
                <w:w w:val="96"/>
              </w:rPr>
              <w:t>Number of Years</w:t>
            </w:r>
          </w:p>
        </w:tc>
        <w:tc>
          <w:tcPr>
            <w:tcW w:w="15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Present Value of</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Payments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During Last</w:t>
            </w:r>
          </w:p>
        </w:tc>
        <w:tc>
          <w:tcPr>
            <w:tcW w:w="0" w:type="dxa"/>
            <w:vAlign w:val="bottom"/>
          </w:tcPr>
          <w:p>
            <w:pPr>
              <w:spacing w:after="0"/>
              <w:rPr>
                <w:sz w:val="1"/>
                <w:szCs w:val="1"/>
                <w:color w:val="auto"/>
              </w:rPr>
            </w:pPr>
          </w:p>
        </w:tc>
      </w:tr>
      <w:tr>
        <w:trPr>
          <w:trHeight w:val="135"/>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60" w:type="dxa"/>
            <w:vAlign w:val="bottom"/>
          </w:tcPr>
          <w:p>
            <w:pPr>
              <w:spacing w:after="0"/>
              <w:rPr>
                <w:sz w:val="11"/>
                <w:szCs w:val="11"/>
                <w:color w:val="auto"/>
              </w:rPr>
            </w:pPr>
          </w:p>
        </w:tc>
        <w:tc>
          <w:tcPr>
            <w:tcW w:w="3800" w:type="dxa"/>
            <w:vAlign w:val="bottom"/>
            <w:vMerge w:val="restart"/>
          </w:tcPr>
          <w:p>
            <w:pPr>
              <w:ind w:left="1580"/>
              <w:spacing w:after="0"/>
              <w:rPr>
                <w:sz w:val="20"/>
                <w:szCs w:val="20"/>
                <w:color w:val="auto"/>
              </w:rPr>
            </w:pPr>
            <w:r>
              <w:rPr>
                <w:rFonts w:ascii="Arial" w:cs="Arial" w:eastAsia="Arial" w:hAnsi="Arial"/>
                <w:sz w:val="13"/>
                <w:szCs w:val="13"/>
                <w:b w:val="1"/>
                <w:bCs w:val="1"/>
                <w:color w:val="auto"/>
              </w:rPr>
              <w:t>Plan Name</w:t>
            </w:r>
          </w:p>
        </w:tc>
        <w:tc>
          <w:tcPr>
            <w:tcW w:w="580" w:type="dxa"/>
            <w:vAlign w:val="bottom"/>
            <w:vMerge w:val="restart"/>
          </w:tcPr>
          <w:p>
            <w:pPr>
              <w:spacing w:after="0"/>
              <w:rPr>
                <w:sz w:val="11"/>
                <w:szCs w:val="11"/>
                <w:color w:val="auto"/>
              </w:rPr>
            </w:pPr>
          </w:p>
        </w:tc>
        <w:tc>
          <w:tcPr>
            <w:tcW w:w="1560" w:type="dxa"/>
            <w:vAlign w:val="bottom"/>
            <w:gridSpan w:val="2"/>
          </w:tcPr>
          <w:p>
            <w:pPr>
              <w:jc w:val="center"/>
              <w:ind w:right="580"/>
              <w:spacing w:after="0" w:line="135" w:lineRule="exact"/>
              <w:rPr>
                <w:sz w:val="20"/>
                <w:szCs w:val="20"/>
                <w:color w:val="auto"/>
              </w:rPr>
            </w:pPr>
            <w:r>
              <w:rPr>
                <w:rFonts w:ascii="Arial" w:cs="Arial" w:eastAsia="Arial" w:hAnsi="Arial"/>
                <w:sz w:val="13"/>
                <w:szCs w:val="13"/>
                <w:b w:val="1"/>
                <w:bCs w:val="1"/>
                <w:color w:val="auto"/>
                <w:w w:val="95"/>
              </w:rPr>
              <w:t>Credited Service</w:t>
            </w:r>
          </w:p>
        </w:tc>
        <w:tc>
          <w:tcPr>
            <w:tcW w:w="154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5"/>
              </w:rPr>
              <w:t>Benefit</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Fiscal Year</w:t>
            </w:r>
          </w:p>
        </w:tc>
        <w:tc>
          <w:tcPr>
            <w:tcW w:w="0" w:type="dxa"/>
            <w:vAlign w:val="bottom"/>
          </w:tcPr>
          <w:p>
            <w:pPr>
              <w:spacing w:after="0"/>
              <w:rPr>
                <w:sz w:val="1"/>
                <w:szCs w:val="1"/>
                <w:color w:val="auto"/>
              </w:rPr>
            </w:pPr>
          </w:p>
        </w:tc>
      </w:tr>
      <w:tr>
        <w:trPr>
          <w:trHeight w:val="166"/>
        </w:trPr>
        <w:tc>
          <w:tcPr>
            <w:tcW w:w="22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(1)</w:t>
            </w:r>
          </w:p>
        </w:tc>
        <w:tc>
          <w:tcPr>
            <w:tcW w:w="5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5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Pension Plan</w:t>
            </w:r>
          </w:p>
        </w:tc>
        <w:tc>
          <w:tcPr>
            <w:tcW w:w="10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30</w:t>
            </w:r>
          </w:p>
        </w:tc>
        <w:tc>
          <w:tcPr>
            <w:tcW w:w="5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1,499,629</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Officer Retention Plan</w:t>
            </w:r>
          </w:p>
        </w:tc>
        <w:tc>
          <w:tcPr>
            <w:tcW w:w="10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25</w:t>
            </w:r>
          </w:p>
        </w:tc>
        <w:tc>
          <w:tcPr>
            <w:tcW w:w="5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14,411,990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Mr. Anthony</w:t>
            </w:r>
          </w:p>
        </w:tc>
        <w:tc>
          <w:tcPr>
            <w:tcW w:w="49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Pension Plan</w:t>
            </w:r>
          </w:p>
        </w:tc>
        <w:tc>
          <w:tcPr>
            <w:tcW w:w="15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9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Officer Retention Plan</w:t>
            </w:r>
          </w:p>
        </w:tc>
        <w:tc>
          <w:tcPr>
            <w:tcW w:w="15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Pension Plan</w:t>
            </w:r>
          </w:p>
        </w:tc>
        <w:tc>
          <w:tcPr>
            <w:tcW w:w="15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Officer Retention Plan</w:t>
            </w:r>
          </w:p>
        </w:tc>
        <w:tc>
          <w:tcPr>
            <w:tcW w:w="10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1,250,000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49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Pension Plan</w:t>
            </w: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428,927</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9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Officer Retention Plan</w:t>
            </w: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2,080,357</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Pension Plan</w:t>
            </w:r>
          </w:p>
        </w:tc>
        <w:tc>
          <w:tcPr>
            <w:tcW w:w="15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49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Officer Retention Plan</w:t>
            </w:r>
          </w:p>
        </w:tc>
        <w:tc>
          <w:tcPr>
            <w:tcW w:w="15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right="140" w:hanging="764"/>
        <w:spacing w:after="0" w:line="257" w:lineRule="auto"/>
        <w:tabs>
          <w:tab w:leader="none" w:pos="8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shown in this column are equal to the number of years of benefit service for which the executive has received credit under the plan. None of the named executive officers have received benefit credit service under the plans for years of service in addition to their actual years of service with the Company which are as follows: Mr. Harrison—43 years, Mr. Anthony—2 years, Mr. Katz—8 years,</w:t>
      </w:r>
    </w:p>
    <w:p>
      <w:pPr>
        <w:spacing w:after="0" w:line="1" w:lineRule="exact"/>
        <w:rPr>
          <w:rFonts w:ascii="Times New Roman" w:cs="Times New Roman" w:eastAsia="Times New Roman" w:hAnsi="Times New Roman"/>
          <w:sz w:val="15"/>
          <w:szCs w:val="15"/>
          <w:color w:val="auto"/>
        </w:rPr>
      </w:pPr>
    </w:p>
    <w:p>
      <w:pPr>
        <w:ind w:left="8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Chambless—34 years and Mr. Fisher—3 years.</w:t>
      </w:r>
    </w:p>
    <w:p>
      <w:pPr>
        <w:spacing w:after="0" w:line="112" w:lineRule="exact"/>
        <w:rPr>
          <w:rFonts w:ascii="Times New Roman" w:cs="Times New Roman" w:eastAsia="Times New Roman" w:hAnsi="Times New Roman"/>
          <w:sz w:val="15"/>
          <w:szCs w:val="15"/>
          <w:color w:val="auto"/>
        </w:rPr>
      </w:pPr>
    </w:p>
    <w:p>
      <w:pPr>
        <w:ind w:left="880" w:right="60" w:hanging="764"/>
        <w:spacing w:after="0" w:line="258" w:lineRule="auto"/>
        <w:tabs>
          <w:tab w:leader="none" w:pos="8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shown in this column are the present values of each named executive officer’s accumulated benefits under the plans as of December 31, 2020. See Note 18 to the consolidated financial statements included in the Company’s Annual Report on Form 10-K for the fiscal year ended December 31, 2020 for a description of the valuation method and material assumptions used to determine the present values of the accumulated benefits under the Pension Plan. Each named executive officer’s accumulated benefits under the ORP are determined in accordance with the terms of the ORP, as discussed below.</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w:t>
      </w:r>
    </w:p>
    <w:p>
      <w:pPr>
        <w:spacing w:after="0" w:line="10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Pension Plan is a traditional, tax-qualified defined benefit pension plan. The benefits under the Pension Plan were frozen on June 30, 2006, and since that date no additional employees have become participants in the Pension Plan and no additional benefits have accrued. On June 30, 2006, all participants in the Pension Plan became fully vested in their accrued benefits under the Pension Plan.</w:t>
      </w:r>
    </w:p>
    <w:p>
      <w:pPr>
        <w:spacing w:after="0" w:line="6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Each participant’s accrued benefit is determined based on the participant’s “average compensation” (as defined in the Pension Plan) as of December 31, 2005 and “years of service” (as defined in the Pension Plan) as of June 30, 2006. As a tax-qualified pension plan, the maximum amount of compensation taken into account for each year under the terms of the Pension Plan is limited by the Internal Revenue Code. In 2006, this limit was $220,000. On December 31, 2020, the Pension Plan benefit of Messrs. Harrison and Chambless was based on the maximum average compensation permitted by the Pension Plan and provides a benefit value equal to the amount shown in the above table under the “Present Value of Accumulated Benefit” column. Messrs. Anthony, Katz and Fisher were hired after the Pension Plan was frozen, so they are not participants in the Pension Plan.</w:t>
      </w:r>
    </w:p>
    <w:p>
      <w:pPr>
        <w:spacing w:after="0" w:line="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Participants may retire at or after age 65 and receive their full benefit under the Pension Plan. Participants who have not reached age 65 but who have reached age 55 and have at least 10 years of service may retire and receive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 reduced retirement benefit. Reductions for early retirement are 7.75% per year for the first five years and 4.00% per year for each additional year retirement is earlier than age 65. Mr. Harrison is eligible to retire and receive his full benefit under the Pension Plan.</w:t>
      </w:r>
    </w:p>
    <w:p>
      <w:pPr>
        <w:spacing w:after="0" w:line="5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Benefits are payable as a single life annuity for participants who are single when payment of their Pension Plan benefit commences or as a 50% joint and survivor annuity over the lives of the participant and spouse for participants who are married when payment of their Pension Plan benefit commences unless an optional form of payment is elected. Available optional forms of payment are an annuity payable in equal monthly payments over a period of 10 years and thereafter for life, or a 75% or 100% joint and survivor annuity over the lives of the participant and spouse or other beneficiary. Benefits of $50,000 or less may be distributed in a lump sum. If a participant dies before the participant begins to receive retirement benefits, the surviving spouse will receive the value of a 50% joint and survivor benefit.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Officer Retention Plan</w:t>
      </w:r>
    </w:p>
    <w:p>
      <w:pPr>
        <w:spacing w:after="0" w:line="10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Internal Revenue Code limits the amounts of compensation that may be considered and the annual benefits that may be provided under the Pension Plan. As such, the Company maintains the ORP, which is a supplemental nonqualified defined benefit plan, to provide some of the Company’s key executives, including the named executive officers, with retirement benefits in excess of Internal Revenue Code limitations as well as additional supplemental benefits.</w:t>
      </w:r>
    </w:p>
    <w:p>
      <w:pPr>
        <w:spacing w:after="0" w:line="7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Under the ORP, the named executive officers are entitled to the full amount of their accrued benefit under the plan upon reaching age 60, the normal retirement age under the plan. The amount of each participant’s normal retirement benefit is determined based on the participant’s position and level of responsibility, performance and job tenure, and is specified in the participant’s individual agreement under the ORP.</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benefits are paid in the form of equal monthly installments over a period of 10, 15 or 20 years, as elected by the participant upon joining the plan.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monthly installment amounts are computed using an 8% discount rate using simple interest compounded monthly.</w:t>
      </w:r>
    </w:p>
    <w:p>
      <w:pPr>
        <w:spacing w:after="0" w:line="9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Participants who terminate employment prior to normal retirement age are eligible to receive a benefit based on their accrued retirement benefit if their employment is terminated due to death or total disability or their vested accrued retirement benefit if their employment is terminated other than due to death or total disability. Participants are also eligible to receive a benefit based on the benefit they would have accrued through age 60 if they are employed upon a change in control. In the event of death, the benefits are payable in a lump sum. In the event of a change in control, the benefits become payable in either a lump sum or in equal monthly installments over a period of five, 10 or 15 years, at the election of the participant. The benefits payable upon death, total disability, severance or a change in control are described beginning on page 50.</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estimated annual retirement benefit payable at retirement for each of the named executive officers was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gridSpan w:val="2"/>
          </w:tcPr>
          <w:p>
            <w:pPr>
              <w:jc w:val="center"/>
              <w:ind w:right="940"/>
              <w:spacing w:after="0"/>
              <w:rPr>
                <w:sz w:val="20"/>
                <w:szCs w:val="20"/>
                <w:color w:val="auto"/>
              </w:rPr>
            </w:pPr>
            <w:r>
              <w:rPr>
                <w:rFonts w:ascii="Arial" w:cs="Arial" w:eastAsia="Arial" w:hAnsi="Arial"/>
                <w:sz w:val="13"/>
                <w:szCs w:val="13"/>
                <w:b w:val="1"/>
                <w:bCs w:val="1"/>
                <w:color w:val="auto"/>
                <w:w w:val="98"/>
              </w:rPr>
              <w:t>Estimated Annual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Number of Years</w:t>
            </w:r>
          </w:p>
        </w:tc>
        <w:tc>
          <w:tcPr>
            <w:tcW w:w="0" w:type="dxa"/>
            <w:vAlign w:val="bottom"/>
          </w:tcPr>
          <w:p>
            <w:pPr>
              <w:spacing w:after="0"/>
              <w:rPr>
                <w:sz w:val="1"/>
                <w:szCs w:val="1"/>
                <w:color w:val="auto"/>
              </w:rPr>
            </w:pPr>
          </w:p>
        </w:tc>
      </w:tr>
      <w:tr>
        <w:trPr>
          <w:trHeight w:val="135"/>
        </w:trPr>
        <w:tc>
          <w:tcPr>
            <w:tcW w:w="7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060" w:type="dxa"/>
            <w:vAlign w:val="bottom"/>
            <w:gridSpan w:val="2"/>
          </w:tcPr>
          <w:p>
            <w:pPr>
              <w:jc w:val="center"/>
              <w:ind w:right="940"/>
              <w:spacing w:after="0" w:line="135" w:lineRule="exact"/>
              <w:rPr>
                <w:sz w:val="20"/>
                <w:szCs w:val="20"/>
                <w:color w:val="auto"/>
              </w:rPr>
            </w:pPr>
            <w:r>
              <w:rPr>
                <w:rFonts w:ascii="Arial" w:cs="Arial" w:eastAsia="Arial" w:hAnsi="Arial"/>
                <w:sz w:val="13"/>
                <w:szCs w:val="13"/>
                <w:b w:val="1"/>
                <w:bCs w:val="1"/>
                <w:color w:val="auto"/>
                <w:w w:val="96"/>
              </w:rPr>
              <w:t>Retirement Benefit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Payable</w:t>
            </w:r>
          </w:p>
        </w:tc>
        <w:tc>
          <w:tcPr>
            <w:tcW w:w="0" w:type="dxa"/>
            <w:vAlign w:val="bottom"/>
          </w:tcPr>
          <w:p>
            <w:pPr>
              <w:spacing w:after="0"/>
              <w:rPr>
                <w:sz w:val="1"/>
                <w:szCs w:val="1"/>
                <w:color w:val="auto"/>
              </w:rPr>
            </w:pPr>
          </w:p>
        </w:tc>
      </w:tr>
      <w:tr>
        <w:trPr>
          <w:trHeight w:val="159"/>
        </w:trPr>
        <w:tc>
          <w:tcPr>
            <w:tcW w:w="7960" w:type="dxa"/>
            <w:vAlign w:val="bottom"/>
            <w:gridSpan w:val="2"/>
            <w:vMerge w:val="continue"/>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96"/>
        </w:trPr>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1,624,991</w:t>
            </w:r>
          </w:p>
        </w:tc>
        <w:tc>
          <w:tcPr>
            <w:tcW w:w="9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359,573</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294,894</w:t>
            </w:r>
          </w:p>
        </w:tc>
        <w:tc>
          <w:tcPr>
            <w:tcW w:w="9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03"/>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Each named executive officer (other than Messrs. Anthony and Fisher who are not eligible to participate in the ORP because they commenced employment with the Company after March 2014) will be entitled to continue participating in the ORP and earn supplemental benefits thereunder until he attains age 60 as described above. However, no new awards of supplemental retirement benefits will be made under the ORP. All new supplemental</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retirement benefit awards, including to Messrs. Anthony and Fisher, will be made under the LTRP or with discretionary SSIP contributions, the material terms of which are described beginning on page 49 and below, respectively.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IV. 2020 Nonqualified Deferred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Supplemental Savings Incentive Plan</w:t>
      </w:r>
    </w:p>
    <w:p>
      <w:pPr>
        <w:spacing w:after="0" w:line="108"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Company maintains the SSIP, a nonqualified deferred compensation plan, for its key executives, including the named executive officers. The following table provides information regarding the named executive officers’ accounts and benefits under the SSIP for 2020:</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5"/>
              </w:rPr>
              <w:t>Executive</w:t>
            </w:r>
          </w:p>
        </w:tc>
        <w:tc>
          <w:tcPr>
            <w:tcW w:w="15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Company</w:t>
            </w:r>
          </w:p>
        </w:tc>
        <w:tc>
          <w:tcPr>
            <w:tcW w:w="12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Aggregate</w:t>
            </w:r>
          </w:p>
        </w:tc>
        <w:tc>
          <w:tcPr>
            <w:tcW w:w="13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Aggregate</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7"/>
              </w:rPr>
              <w:t>Contributions in</w:t>
            </w:r>
          </w:p>
        </w:tc>
        <w:tc>
          <w:tcPr>
            <w:tcW w:w="152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5"/>
              </w:rPr>
              <w:t>Contributions in</w:t>
            </w:r>
          </w:p>
        </w:tc>
        <w:tc>
          <w:tcPr>
            <w:tcW w:w="12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5"/>
              </w:rPr>
              <w:t>Earnings in</w:t>
            </w:r>
          </w:p>
        </w:tc>
        <w:tc>
          <w:tcPr>
            <w:tcW w:w="13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7"/>
              </w:rPr>
              <w:t>Withdrawals/</w:t>
            </w:r>
          </w:p>
        </w:tc>
        <w:tc>
          <w:tcPr>
            <w:tcW w:w="12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Balance at</w:t>
            </w:r>
          </w:p>
        </w:tc>
        <w:tc>
          <w:tcPr>
            <w:tcW w:w="0" w:type="dxa"/>
            <w:vAlign w:val="bottom"/>
          </w:tcPr>
          <w:p>
            <w:pPr>
              <w:spacing w:after="0"/>
              <w:rPr>
                <w:sz w:val="1"/>
                <w:szCs w:val="1"/>
                <w:color w:val="auto"/>
              </w:rPr>
            </w:pPr>
          </w:p>
        </w:tc>
      </w:tr>
      <w:tr>
        <w:trPr>
          <w:trHeight w:val="135"/>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5"/>
              </w:rPr>
              <w:t>Fiscal 2020</w:t>
            </w:r>
          </w:p>
        </w:tc>
        <w:tc>
          <w:tcPr>
            <w:tcW w:w="152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7"/>
              </w:rPr>
              <w:t>Fiscal 2020</w:t>
            </w:r>
          </w:p>
        </w:tc>
        <w:tc>
          <w:tcPr>
            <w:tcW w:w="12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Fiscal 2020</w:t>
            </w:r>
          </w:p>
        </w:tc>
        <w:tc>
          <w:tcPr>
            <w:tcW w:w="13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7"/>
              </w:rPr>
              <w:t>Distributions</w:t>
            </w:r>
          </w:p>
        </w:tc>
        <w:tc>
          <w:tcPr>
            <w:tcW w:w="12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59"/>
        </w:trPr>
        <w:tc>
          <w:tcPr>
            <w:tcW w:w="4280" w:type="dxa"/>
            <w:vAlign w:val="bottom"/>
            <w:gridSpan w:val="2"/>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(1)</w:t>
            </w:r>
          </w:p>
        </w:tc>
        <w:tc>
          <w:tcPr>
            <w:tcW w:w="5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5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5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Harrison</w:t>
            </w: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73,432</w:t>
            </w: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2,025,243</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1,238,837</w:t>
            </w:r>
          </w:p>
        </w:tc>
        <w:tc>
          <w:tcPr>
            <w:tcW w:w="5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14,119,664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Anthony</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38,853</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166,651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93,384</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46,765</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23,383</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12,788</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263,450</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20,318</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737,069</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36,410</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18,205</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45,507</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hanging="764"/>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amounts shown in this column are also reported in the “Salary” column of the 2020 Summary Compensation Table.</w:t>
      </w:r>
    </w:p>
    <w:p>
      <w:pPr>
        <w:spacing w:after="0" w:line="130" w:lineRule="exact"/>
        <w:rPr>
          <w:rFonts w:ascii="Times New Roman" w:cs="Times New Roman" w:eastAsia="Times New Roman" w:hAnsi="Times New Roman"/>
          <w:sz w:val="15"/>
          <w:szCs w:val="15"/>
          <w:color w:val="auto"/>
        </w:rPr>
      </w:pPr>
    </w:p>
    <w:p>
      <w:pPr>
        <w:ind w:left="880" w:hanging="764"/>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amounts shown in this column are also reported in the “All Other Compensation” column of the 2020 Summary Compensation Table.</w:t>
      </w:r>
    </w:p>
    <w:p>
      <w:pPr>
        <w:spacing w:after="0" w:line="130" w:lineRule="exact"/>
        <w:rPr>
          <w:rFonts w:ascii="Times New Roman" w:cs="Times New Roman" w:eastAsia="Times New Roman" w:hAnsi="Times New Roman"/>
          <w:sz w:val="15"/>
          <w:szCs w:val="15"/>
          <w:color w:val="auto"/>
        </w:rPr>
      </w:pPr>
    </w:p>
    <w:p>
      <w:pPr>
        <w:ind w:left="880" w:right="20" w:hanging="764"/>
        <w:spacing w:after="0" w:line="261" w:lineRule="auto"/>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Of the amounts shown in this column, the following amounts are reported as above-market earnings on deferred compensation in the “Change in Pension Value and Nonqualified Deferred Compensation Earnings” column of the 2020 Summary Compensation Table:</w:t>
      </w:r>
    </w:p>
    <w:p>
      <w:pPr>
        <w:ind w:left="8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Harrison—$286,244, Mr. Anthony—$0, Mr. Katz—$0, Mr. Chambless—$24,917 and Mr. Fisher—$0.</w:t>
      </w:r>
    </w:p>
    <w:p>
      <w:pPr>
        <w:spacing w:after="0" w:line="112" w:lineRule="exact"/>
        <w:rPr>
          <w:rFonts w:ascii="Times New Roman" w:cs="Times New Roman" w:eastAsia="Times New Roman" w:hAnsi="Times New Roman"/>
          <w:sz w:val="15"/>
          <w:szCs w:val="15"/>
          <w:color w:val="auto"/>
        </w:rPr>
      </w:pPr>
    </w:p>
    <w:p>
      <w:pPr>
        <w:ind w:left="880" w:right="220" w:hanging="764"/>
        <w:spacing w:after="0" w:line="266" w:lineRule="auto"/>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Of the amounts shown in this column, the following amounts were reported in the Summary Compensation Tables of the Company’s proxy statements for previous years: Mr. Harrison—$9,196,710, Mr. Anthony—$145,251, Mr. Katz—$338,985, Mr. Chambless—$715,701 and Mr. Fisher—$0.</w:t>
      </w:r>
    </w:p>
    <w:p>
      <w:pPr>
        <w:spacing w:after="0" w:line="68"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Company currently matches up to 50% of the first 6% of base salary deferred. The Company may also make discretionary contributions to participants’ accounts.</w:t>
      </w:r>
    </w:p>
    <w:p>
      <w:pPr>
        <w:spacing w:after="0" w:line="5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Participants are immediately vested in all amounts of salary and bonus deferred by them. The Company’s contributions to participants’ accounts, other than transition contributions, vest in 20% annual increments and become fully vested upon the completion of five years of service. The transition contributions vested in 20% annual increments from December 31, 2006 to December 31, 2010. All contributions made by the Company become fully vested upon retirement, death or a change in control.</w:t>
      </w:r>
    </w:p>
    <w:p>
      <w:pPr>
        <w:spacing w:after="0" w:line="7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Amounts deferred by participants and contributions made by the Company before January 1, 2006 are deemed invested in either a “fixed benefit account” or a “pre-2006 supplemental account,” at the election of the participant. Balances in fixed benefit accounts earn interest at an annual rate of up to 13% (depending on the event requiring distribution and the participant’s age, years of service and initial year of participation in the SSIP).</w:t>
      </w:r>
    </w:p>
    <w:p>
      <w:pPr>
        <w:spacing w:after="0" w:line="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Harrison’s balance has earned interest at an annual rate of 6% since the year in which he attained age 60. For Mr. Chambless (the only other named executive officer with a fixed benefit account), the amounts reported in the above table under “Aggregate Earnings in Fiscal 2020” and “Aggregate Balance at December 31, 2020” were calculated assuming the maximum annual return of 13%.</w:t>
      </w:r>
    </w:p>
    <w:p>
      <w:pPr>
        <w:spacing w:after="0" w:line="78"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Amounts deferred by participants and contributions made by the Company on or after January 1, 2006 are deemed invested in a “post-2005 supplemental account.” Balances in pre-2006 supplemental accounts and post-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2005 supplemental accounts are deemed invested by participants in investment choices that are made available by the Company, which are similar to the choices available under the 401(k) Savings Plan.</w:t>
      </w:r>
    </w:p>
    <w:p>
      <w:pPr>
        <w:spacing w:after="0" w:line="5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Balances in fixed benefit accounts and pre-2006 supplemental accounts become payable, as elected by a participant, either upon “termination of employment” or on a date designated by the participant between the year the participant turns 55 and the year the participant turns 70. Balances in post-2005 supplemental accounts may be distributed, as elected by a participant, either upon “termination of employment” or on a date designated by the participant that is at least two years after the year that a salary deferral or other contribution was made and not later than the year the participant turns 70. A “termination of employment” occurs upon the later of (i) a participant’s severance, retirement or attainment of age 55 while totally disabled and, (ii) at the election of the plan administrator, the date when the participant is no longer receiving severance benefits.</w:t>
      </w:r>
    </w:p>
    <w:p>
      <w:pPr>
        <w:spacing w:after="0" w:line="7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Balances in fixed benefit accounts are payable in equal monthly installments over a period of 10 or 15 years, at the election of the participant. The monthly payment amount for a fixed benefit account is calculated using a discount rate that is equal to the applicable rate of interest on the account, as described above. Balances in pre-2006 supplemental accounts are payable in equal monthly installments over a period of 10 or 15 years, at the election of the participant. The monthly payment amount for a pre-2006 supplemental account is calculated by dividing the vested account balance by the number of remaining monthly payments. Balances in post-2005 supplemental accounts are payable in either a lump sum or in equal monthly installments over a period of five, 10 or 15 years, at the election of the participant. The monthly payment amount for a post-2005 supplemental account is calculated by dividing the vested account balance by the number of remaining monthly payments.</w:t>
      </w:r>
    </w:p>
    <w:p>
      <w:pPr>
        <w:spacing w:after="0" w:line="8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the event of death or a change in control, all account balances become payable in either a lump sum or in equal monthly installments over a period of five, 10 or 15 years, at the election of the participant. In each case, the account balances and monthly payments are generally computed in the same manner as described above, except participants are deemed fully vested in their account balances, and, in the case of a change in control, the account balances and monthly payments for fixed benefit accounts are computed using the maximum 13% rate of return and 13% discount rate, respectively. Additional information regarding amounts payable to each of the named executive officers upon a termination of employment, death or a change in control is provided in the following section.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Retention Plan</w:t>
      </w:r>
    </w:p>
    <w:p>
      <w:pPr>
        <w:spacing w:after="0" w:line="108" w:lineRule="exact"/>
        <w:rPr>
          <w:sz w:val="20"/>
          <w:szCs w:val="20"/>
          <w:color w:val="auto"/>
        </w:rPr>
      </w:pPr>
    </w:p>
    <w:p>
      <w:pPr>
        <w:jc w:val="both"/>
        <w:ind w:left="120" w:right="280"/>
        <w:spacing w:after="0" w:line="312" w:lineRule="auto"/>
        <w:rPr>
          <w:sz w:val="20"/>
          <w:szCs w:val="20"/>
          <w:color w:val="auto"/>
        </w:rPr>
      </w:pPr>
      <w:r>
        <w:rPr>
          <w:rFonts w:ascii="Times New Roman" w:cs="Times New Roman" w:eastAsia="Times New Roman" w:hAnsi="Times New Roman"/>
          <w:sz w:val="17"/>
          <w:szCs w:val="17"/>
          <w:color w:val="auto"/>
        </w:rPr>
        <w:t>The LTRP is a supplemental nonqualified defined contribution plan that provides supplemental benefits to the Company’s key executives. The LTRP was adopted in March 2014 and all new awards of supplemental retirement benefits since that date have been made under the LTRP and not the ORP.</w:t>
      </w:r>
    </w:p>
    <w:p>
      <w:pPr>
        <w:spacing w:after="0" w:line="3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participant in the LTRP earns a Company contribution to a supplemental benefits account for each year of employment with the Company through age 60, the normal retirement age under the plan. The amount of each participant’s contribution is determined based on the participant’s position and level of responsibility, performance, job tenure and future potential, and is specified in the participant’s individual agreement under the LTRP. The amount contributed to a participant’s supplemental benefits account is invested in investment choices that are similar to the choices available under the 401(k) Savings Plan. The balance of a participant’s supplemental benefits account is 50% vested through a participant’s attainment of age 51 while employed by the Company and becomes vested ratably for each year of continued employment thereafter through age 60. The account also becomes vested in the event of the participant’s death or disability or a change in control of the Company. The vested balance of a participant’s supplemental benefits account is payable following termination of employment in either a lump sum or in equal monthly installments over a period of 10, 15 or 20 years, at the election of the participant.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participants’ accounts under the LTRP for 2020:</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Company</w:t>
            </w:r>
          </w:p>
        </w:tc>
        <w:tc>
          <w:tcPr>
            <w:tcW w:w="13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9"/>
              </w:rPr>
              <w:t>Aggregate</w:t>
            </w:r>
          </w:p>
        </w:tc>
        <w:tc>
          <w:tcPr>
            <w:tcW w:w="142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6"/>
              </w:rPr>
              <w:t>Aggregate</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2"/>
          </w:tcPr>
          <w:p>
            <w:pPr>
              <w:jc w:val="right"/>
              <w:ind w:right="700"/>
              <w:spacing w:after="0" w:line="135" w:lineRule="exact"/>
              <w:rPr>
                <w:sz w:val="20"/>
                <w:szCs w:val="20"/>
                <w:color w:val="auto"/>
              </w:rPr>
            </w:pPr>
            <w:r>
              <w:rPr>
                <w:rFonts w:ascii="Arial" w:cs="Arial" w:eastAsia="Arial" w:hAnsi="Arial"/>
                <w:sz w:val="13"/>
                <w:szCs w:val="13"/>
                <w:b w:val="1"/>
                <w:bCs w:val="1"/>
                <w:color w:val="auto"/>
                <w:w w:val="95"/>
              </w:rPr>
              <w:t>Contributions in</w:t>
            </w:r>
          </w:p>
        </w:tc>
        <w:tc>
          <w:tcPr>
            <w:tcW w:w="1380" w:type="dxa"/>
            <w:vAlign w:val="bottom"/>
            <w:gridSpan w:val="2"/>
          </w:tcPr>
          <w:p>
            <w:pPr>
              <w:jc w:val="center"/>
              <w:ind w:right="700"/>
              <w:spacing w:after="0" w:line="135" w:lineRule="exact"/>
              <w:rPr>
                <w:sz w:val="20"/>
                <w:szCs w:val="20"/>
                <w:color w:val="auto"/>
              </w:rPr>
            </w:pPr>
            <w:r>
              <w:rPr>
                <w:rFonts w:ascii="Arial" w:cs="Arial" w:eastAsia="Arial" w:hAnsi="Arial"/>
                <w:sz w:val="13"/>
                <w:szCs w:val="13"/>
                <w:b w:val="1"/>
                <w:bCs w:val="1"/>
                <w:color w:val="auto"/>
                <w:w w:val="95"/>
              </w:rPr>
              <w:t>Earnings in</w:t>
            </w:r>
          </w:p>
        </w:tc>
        <w:tc>
          <w:tcPr>
            <w:tcW w:w="142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7"/>
              </w:rPr>
              <w:t>Withdrawals/</w:t>
            </w:r>
          </w:p>
        </w:tc>
        <w:tc>
          <w:tcPr>
            <w:tcW w:w="12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Balance at</w:t>
            </w:r>
          </w:p>
        </w:tc>
        <w:tc>
          <w:tcPr>
            <w:tcW w:w="0" w:type="dxa"/>
            <w:vAlign w:val="bottom"/>
          </w:tcPr>
          <w:p>
            <w:pPr>
              <w:spacing w:after="0"/>
              <w:rPr>
                <w:sz w:val="1"/>
                <w:szCs w:val="1"/>
                <w:color w:val="auto"/>
              </w:rPr>
            </w:pPr>
          </w:p>
        </w:tc>
      </w:tr>
      <w:tr>
        <w:trPr>
          <w:trHeight w:val="135"/>
        </w:trPr>
        <w:tc>
          <w:tcPr>
            <w:tcW w:w="5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68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97"/>
              </w:rPr>
              <w:t>Fiscal 2020</w:t>
            </w:r>
          </w:p>
        </w:tc>
        <w:tc>
          <w:tcPr>
            <w:tcW w:w="1380" w:type="dxa"/>
            <w:vAlign w:val="bottom"/>
            <w:gridSpan w:val="2"/>
          </w:tcPr>
          <w:p>
            <w:pPr>
              <w:jc w:val="center"/>
              <w:ind w:right="700"/>
              <w:spacing w:after="0" w:line="135" w:lineRule="exact"/>
              <w:rPr>
                <w:sz w:val="20"/>
                <w:szCs w:val="20"/>
                <w:color w:val="auto"/>
              </w:rPr>
            </w:pPr>
            <w:r>
              <w:rPr>
                <w:rFonts w:ascii="Arial" w:cs="Arial" w:eastAsia="Arial" w:hAnsi="Arial"/>
                <w:sz w:val="13"/>
                <w:szCs w:val="13"/>
                <w:b w:val="1"/>
                <w:bCs w:val="1"/>
                <w:color w:val="auto"/>
                <w:w w:val="97"/>
              </w:rPr>
              <w:t>Fiscal 2020</w:t>
            </w:r>
          </w:p>
        </w:tc>
        <w:tc>
          <w:tcPr>
            <w:tcW w:w="142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7"/>
              </w:rPr>
              <w:t>Distributions</w:t>
            </w:r>
          </w:p>
        </w:tc>
        <w:tc>
          <w:tcPr>
            <w:tcW w:w="12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59"/>
        </w:trPr>
        <w:tc>
          <w:tcPr>
            <w:tcW w:w="5340" w:type="dxa"/>
            <w:vAlign w:val="bottom"/>
            <w:gridSpan w:val="2"/>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Katz</w:t>
            </w:r>
          </w:p>
        </w:tc>
        <w:tc>
          <w:tcPr>
            <w:tcW w:w="6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209,630</w:t>
            </w: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39,148</w:t>
            </w:r>
          </w:p>
        </w:tc>
        <w:tc>
          <w:tcPr>
            <w:tcW w:w="7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816,569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Chambless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109,984</w:t>
            </w:r>
          </w:p>
        </w:tc>
        <w:tc>
          <w:tcPr>
            <w:tcW w:w="7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190,781</w:t>
            </w:r>
          </w:p>
        </w:tc>
        <w:tc>
          <w:tcPr>
            <w:tcW w:w="700" w:type="dxa"/>
            <w:vAlign w:val="bottom"/>
          </w:tcPr>
          <w:p>
            <w:pPr>
              <w:spacing w:after="0"/>
              <w:rPr>
                <w:sz w:val="17"/>
                <w:szCs w:val="17"/>
                <w:color w:val="auto"/>
              </w:rPr>
            </w:pPr>
          </w:p>
        </w:tc>
        <w:tc>
          <w:tcPr>
            <w:tcW w:w="142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Fisher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258,340</w:t>
            </w: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171,409</w:t>
            </w:r>
          </w:p>
        </w:tc>
        <w:tc>
          <w:tcPr>
            <w:tcW w:w="7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880" w:hanging="764"/>
        <w:spacing w:after="0"/>
        <w:tabs>
          <w:tab w:leader="none" w:pos="8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amounts shown in this column are also reported in the “All Other Compensation” column of the 2020 Summary Compensation Table.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 2020 Potential Payments Upon Termination or Change in Control</w:t>
      </w:r>
    </w:p>
    <w:p>
      <w:pPr>
        <w:spacing w:after="0" w:line="11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table below shows the estimated benefits payable to each named executive officer in the event of the named executive officer’s termination of employment under various scenarios or a change in control of the Company. The amounts shown assume termination of employment or a change in control on December 31, 2020. The amounts do not include payments or benefits provided under insurance or other plans that are generally available to all salaried employees.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and Plans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Mr. Harrison</w:t>
      </w:r>
    </w:p>
    <w:p>
      <w:pPr>
        <w:ind w:left="260"/>
        <w:spacing w:after="0" w:line="221" w:lineRule="auto"/>
        <w:rPr>
          <w:sz w:val="20"/>
          <w:szCs w:val="20"/>
          <w:color w:val="auto"/>
        </w:rPr>
      </w:pPr>
      <w:r>
        <w:rPr>
          <w:rFonts w:ascii="Times New Roman" w:cs="Times New Roman" w:eastAsia="Times New Roman" w:hAnsi="Times New Roman"/>
          <w:sz w:val="14"/>
          <w:szCs w:val="14"/>
          <w:color w:val="auto"/>
        </w:rPr>
        <w:t>Officer Retention Plan</w:t>
      </w:r>
      <w:r>
        <w:rPr>
          <w:rFonts w:ascii="Times New Roman" w:cs="Times New Roman" w:eastAsia="Times New Roman" w:hAnsi="Times New Roman"/>
          <w:sz w:val="12"/>
          <w:szCs w:val="12"/>
          <w:color w:val="auto"/>
        </w:rPr>
        <w:t>(2)</w:t>
      </w:r>
    </w:p>
    <w:p>
      <w:pPr>
        <w:ind w:left="260"/>
        <w:spacing w:after="0" w:line="221" w:lineRule="auto"/>
        <w:rPr>
          <w:sz w:val="20"/>
          <w:szCs w:val="20"/>
          <w:color w:val="auto"/>
        </w:rPr>
      </w:pPr>
      <w:r>
        <w:rPr>
          <w:rFonts w:ascii="Times New Roman" w:cs="Times New Roman" w:eastAsia="Times New Roman" w:hAnsi="Times New Roman"/>
          <w:sz w:val="14"/>
          <w:szCs w:val="14"/>
          <w:color w:val="auto"/>
        </w:rPr>
        <w:t>Supplemental Savings Incentive Plan</w:t>
      </w:r>
      <w:r>
        <w:rPr>
          <w:rFonts w:ascii="Times New Roman" w:cs="Times New Roman" w:eastAsia="Times New Roman" w:hAnsi="Times New Roman"/>
          <w:sz w:val="12"/>
          <w:szCs w:val="12"/>
          <w:color w:val="auto"/>
        </w:rPr>
        <w:t>(2)</w:t>
      </w:r>
    </w:p>
    <w:p>
      <w:pPr>
        <w:ind w:left="260"/>
        <w:spacing w:after="0" w:line="222" w:lineRule="auto"/>
        <w:rPr>
          <w:sz w:val="20"/>
          <w:szCs w:val="20"/>
          <w:color w:val="auto"/>
        </w:rPr>
      </w:pPr>
      <w:r>
        <w:rPr>
          <w:rFonts w:ascii="Times New Roman" w:cs="Times New Roman" w:eastAsia="Times New Roman" w:hAnsi="Times New Roman"/>
          <w:sz w:val="14"/>
          <w:szCs w:val="14"/>
          <w:color w:val="auto"/>
        </w:rPr>
        <w:t>Annual Bonus Plan</w:t>
      </w:r>
      <w:r>
        <w:rPr>
          <w:rFonts w:ascii="Times New Roman" w:cs="Times New Roman" w:eastAsia="Times New Roman" w:hAnsi="Times New Roman"/>
          <w:sz w:val="12"/>
          <w:szCs w:val="12"/>
          <w:color w:val="auto"/>
        </w:rPr>
        <w:t>(3)</w:t>
      </w:r>
    </w:p>
    <w:p>
      <w:pPr>
        <w:ind w:left="260"/>
        <w:spacing w:after="0"/>
        <w:rPr>
          <w:sz w:val="20"/>
          <w:szCs w:val="20"/>
          <w:color w:val="auto"/>
        </w:rPr>
      </w:pPr>
      <w:r>
        <w:rPr>
          <w:rFonts w:ascii="Times New Roman" w:cs="Times New Roman" w:eastAsia="Times New Roman" w:hAnsi="Times New Roman"/>
          <w:sz w:val="14"/>
          <w:szCs w:val="14"/>
          <w:color w:val="auto"/>
        </w:rPr>
        <w:t>Long-Term Performance Equity Plan</w:t>
      </w:r>
      <w:r>
        <w:rPr>
          <w:rFonts w:ascii="Times New Roman" w:cs="Times New Roman" w:eastAsia="Times New Roman" w:hAnsi="Times New Roman"/>
          <w:sz w:val="12"/>
          <w:szCs w:val="12"/>
          <w:color w:val="auto"/>
        </w:rPr>
        <w:t>(4)</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Total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Mr. Anthony</w:t>
      </w:r>
    </w:p>
    <w:p>
      <w:pPr>
        <w:ind w:left="260"/>
        <w:spacing w:after="0" w:line="229" w:lineRule="auto"/>
        <w:rPr>
          <w:sz w:val="20"/>
          <w:szCs w:val="20"/>
          <w:color w:val="auto"/>
        </w:rPr>
      </w:pPr>
      <w:r>
        <w:rPr>
          <w:rFonts w:ascii="Times New Roman" w:cs="Times New Roman" w:eastAsia="Times New Roman" w:hAnsi="Times New Roman"/>
          <w:sz w:val="14"/>
          <w:szCs w:val="14"/>
          <w:color w:val="auto"/>
        </w:rPr>
        <w:t>Supplemental Savings Incentive Plan</w:t>
      </w:r>
      <w:r>
        <w:rPr>
          <w:rFonts w:ascii="Times New Roman" w:cs="Times New Roman" w:eastAsia="Times New Roman" w:hAnsi="Times New Roman"/>
          <w:sz w:val="12"/>
          <w:szCs w:val="12"/>
          <w:color w:val="auto"/>
        </w:rPr>
        <w:t>(2)</w:t>
      </w:r>
    </w:p>
    <w:p>
      <w:pPr>
        <w:ind w:left="260"/>
        <w:spacing w:after="0" w:line="221" w:lineRule="auto"/>
        <w:rPr>
          <w:sz w:val="20"/>
          <w:szCs w:val="20"/>
          <w:color w:val="auto"/>
        </w:rPr>
      </w:pPr>
      <w:r>
        <w:rPr>
          <w:rFonts w:ascii="Times New Roman" w:cs="Times New Roman" w:eastAsia="Times New Roman" w:hAnsi="Times New Roman"/>
          <w:sz w:val="14"/>
          <w:szCs w:val="14"/>
          <w:color w:val="auto"/>
        </w:rPr>
        <w:t>Annual Bonus Plan</w:t>
      </w:r>
      <w:r>
        <w:rPr>
          <w:rFonts w:ascii="Times New Roman" w:cs="Times New Roman" w:eastAsia="Times New Roman" w:hAnsi="Times New Roman"/>
          <w:sz w:val="12"/>
          <w:szCs w:val="12"/>
          <w:color w:val="auto"/>
        </w:rPr>
        <w:t>(3)</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Long-Term Performance Plan</w:t>
      </w:r>
      <w:r>
        <w:rPr>
          <w:rFonts w:ascii="Times New Roman" w:cs="Times New Roman" w:eastAsia="Times New Roman" w:hAnsi="Times New Roman"/>
          <w:sz w:val="12"/>
          <w:szCs w:val="12"/>
          <w:color w:val="auto"/>
        </w:rPr>
        <w:t>(5)</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Voluntary</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Resignation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Termination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r>
      <w:tr>
        <w:trPr>
          <w:trHeight w:val="159"/>
        </w:trPr>
        <w:tc>
          <w:tcPr>
            <w:tcW w:w="220" w:type="dxa"/>
            <w:vAlign w:val="bottom"/>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9"/>
              </w:rPr>
              <w:t>Cause</w:t>
            </w:r>
          </w:p>
        </w:tc>
        <w:tc>
          <w:tcPr>
            <w:tcW w:w="11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for Cause</w:t>
            </w:r>
          </w:p>
        </w:tc>
        <w:tc>
          <w:tcPr>
            <w:tcW w:w="102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Death</w:t>
            </w:r>
          </w:p>
        </w:tc>
        <w:tc>
          <w:tcPr>
            <w:tcW w:w="10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Retirement</w:t>
            </w:r>
          </w:p>
        </w:tc>
        <w:tc>
          <w:tcPr>
            <w:tcW w:w="8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Control</w:t>
            </w:r>
          </w:p>
        </w:tc>
      </w:tr>
      <w:tr>
        <w:trPr>
          <w:trHeight w:val="181"/>
        </w:trPr>
        <w:tc>
          <w:tcPr>
            <w:tcW w:w="11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60" w:type="dxa"/>
            <w:vAlign w:val="bottom"/>
          </w:tcPr>
          <w:p>
            <w:pPr>
              <w:jc w:val="right"/>
              <w:ind w:right="209"/>
              <w:spacing w:after="0" w:line="18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42"/>
        </w:trPr>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126"/>
        </w:trPr>
        <w:tc>
          <w:tcPr>
            <w:tcW w:w="22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14,411,990</w:t>
            </w:r>
          </w:p>
        </w:tc>
        <w:tc>
          <w:tcPr>
            <w:tcW w:w="2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14,411,990</w:t>
            </w:r>
          </w:p>
        </w:tc>
        <w:tc>
          <w:tcPr>
            <w:tcW w:w="104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14,411,990</w:t>
            </w:r>
          </w:p>
        </w:tc>
        <w:tc>
          <w:tcPr>
            <w:tcW w:w="112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14,411,990</w:t>
            </w:r>
          </w:p>
        </w:tc>
        <w:tc>
          <w:tcPr>
            <w:tcW w:w="88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14,411,990</w:t>
            </w:r>
          </w:p>
        </w:tc>
      </w:tr>
      <w:tr>
        <w:trPr>
          <w:trHeight w:val="148"/>
        </w:trPr>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14,119,664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14,119,664</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14,119,664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14,119,664</w:t>
            </w:r>
          </w:p>
        </w:tc>
        <w:tc>
          <w:tcPr>
            <w:tcW w:w="11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14,119,664</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14,119,664</w:t>
            </w:r>
          </w:p>
        </w:tc>
      </w:tr>
      <w:tr>
        <w:trPr>
          <w:trHeight w:val="148"/>
        </w:trPr>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1,908,006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1,908,006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1,908,006</w:t>
            </w:r>
          </w:p>
        </w:tc>
        <w:tc>
          <w:tcPr>
            <w:tcW w:w="11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1,908,006</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1,186,571</w:t>
            </w:r>
          </w:p>
        </w:tc>
      </w:tr>
      <w:tr>
        <w:trPr>
          <w:trHeight w:val="171"/>
        </w:trPr>
        <w:tc>
          <w:tcPr>
            <w:tcW w:w="22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14,849,167</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14,849,167</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14,849,167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14,849,167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14,849,167</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14,849,167</w:t>
            </w:r>
          </w:p>
        </w:tc>
      </w:tr>
      <w:tr>
        <w:trPr>
          <w:trHeight w:val="20"/>
        </w:trPr>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45,288,827</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28,968,831</w:t>
            </w:r>
          </w:p>
        </w:tc>
        <w:tc>
          <w:tcPr>
            <w:tcW w:w="102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45,288,827</w:t>
            </w:r>
          </w:p>
        </w:tc>
        <w:tc>
          <w:tcPr>
            <w:tcW w:w="1040" w:type="dxa"/>
            <w:vAlign w:val="bottom"/>
            <w:gridSpan w:val="2"/>
            <w:shd w:val="clear" w:color="auto" w:fill="CCEEFF"/>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45,288,827</w:t>
            </w:r>
          </w:p>
        </w:tc>
        <w:tc>
          <w:tcPr>
            <w:tcW w:w="1120" w:type="dxa"/>
            <w:vAlign w:val="bottom"/>
            <w:gridSpan w:val="2"/>
            <w:shd w:val="clear" w:color="auto" w:fill="CCEEFF"/>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45,288,827</w:t>
            </w:r>
          </w:p>
        </w:tc>
        <w:tc>
          <w:tcPr>
            <w:tcW w:w="88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44,567,392</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268"/>
        </w:trPr>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235,804</w:t>
            </w:r>
          </w:p>
        </w:tc>
        <w:tc>
          <w:tcPr>
            <w:tcW w:w="2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235,804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454,985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454,985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454,985</w:t>
            </w:r>
          </w:p>
        </w:tc>
      </w:tr>
      <w:tr>
        <w:trPr>
          <w:trHeight w:val="149"/>
        </w:trPr>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648,979</w:t>
            </w:r>
          </w:p>
        </w:tc>
        <w:tc>
          <w:tcPr>
            <w:tcW w:w="22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648,979</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648,979</w:t>
            </w: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403,594</w:t>
            </w:r>
          </w:p>
        </w:tc>
      </w:tr>
      <w:tr>
        <w:trPr>
          <w:trHeight w:val="171"/>
        </w:trPr>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344,531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344,531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344,531</w:t>
            </w:r>
          </w:p>
        </w:tc>
      </w:tr>
      <w:tr>
        <w:trPr>
          <w:trHeight w:val="155"/>
        </w:trPr>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884,783</w:t>
            </w: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235,804</w:t>
            </w:r>
          </w:p>
        </w:tc>
        <w:tc>
          <w:tcPr>
            <w:tcW w:w="2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1,448,495</w:t>
            </w:r>
          </w:p>
        </w:tc>
        <w:tc>
          <w:tcPr>
            <w:tcW w:w="2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1,448,495</w:t>
            </w:r>
          </w:p>
        </w:tc>
        <w:tc>
          <w:tcPr>
            <w:tcW w:w="2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1,203,110</w:t>
            </w:r>
          </w:p>
        </w:tc>
      </w:tr>
      <w:tr>
        <w:trPr>
          <w:trHeight w:val="20"/>
        </w:trPr>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-1139825</wp:posOffset>
            </wp:positionV>
            <wp:extent cx="6995160" cy="626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00" w:space="720"/>
            <w:col w:w="66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39"/>
        </w:trPr>
        <w:tc>
          <w:tcPr>
            <w:tcW w:w="370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Mr. Katz</w:t>
            </w:r>
          </w:p>
        </w:tc>
        <w:tc>
          <w:tcPr>
            <w:tcW w:w="21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750,000</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1,250,000</w:t>
            </w:r>
          </w:p>
        </w:tc>
        <w:tc>
          <w:tcPr>
            <w:tcW w:w="12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1,250,000</w:t>
            </w: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Officer Retention Plan</w:t>
            </w:r>
            <w:r>
              <w:rPr>
                <w:rFonts w:ascii="Times New Roman" w:cs="Times New Roman" w:eastAsia="Times New Roman" w:hAnsi="Times New Roman"/>
                <w:sz w:val="12"/>
                <w:szCs w:val="12"/>
                <w:color w:val="auto"/>
              </w:rPr>
              <w:t>(2)</w:t>
            </w:r>
          </w:p>
        </w:tc>
        <w:tc>
          <w:tcPr>
            <w:tcW w:w="21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Long-Term Retention Plan</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489,942</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816,569</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816,569</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816,569</w:t>
            </w: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Supplemental Savings Incentive Plan</w:t>
            </w:r>
            <w:r>
              <w:rPr>
                <w:rFonts w:ascii="Times New Roman" w:cs="Times New Roman" w:eastAsia="Times New Roman" w:hAnsi="Times New Roman"/>
                <w:sz w:val="12"/>
                <w:szCs w:val="12"/>
                <w:color w:val="auto"/>
              </w:rPr>
              <w:t>(2)</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542,574</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542,574</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542,574</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542,574</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542,574</w:t>
            </w: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Annual Bonus Plan</w:t>
            </w:r>
            <w:r>
              <w:rPr>
                <w:rFonts w:ascii="Times New Roman" w:cs="Times New Roman" w:eastAsia="Times New Roman" w:hAnsi="Times New Roman"/>
                <w:sz w:val="12"/>
                <w:szCs w:val="12"/>
                <w:color w:val="auto"/>
              </w:rPr>
              <w:t>(3)</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1,444,520</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1,444,520</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1,444,520</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0" w:type="dxa"/>
            <w:vAlign w:val="bottom"/>
          </w:tcPr>
          <w:p>
            <w:pPr>
              <w:spacing w:after="0"/>
              <w:rPr>
                <w:sz w:val="1"/>
                <w:szCs w:val="1"/>
                <w:color w:val="auto"/>
              </w:rPr>
            </w:pPr>
          </w:p>
        </w:tc>
      </w:tr>
      <w:tr>
        <w:trPr>
          <w:trHeight w:val="175"/>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Performance Plan</w:t>
            </w:r>
            <w:r>
              <w:rPr>
                <w:rFonts w:ascii="Times New Roman" w:cs="Times New Roman" w:eastAsia="Times New Roman" w:hAnsi="Times New Roman"/>
                <w:sz w:val="12"/>
                <w:szCs w:val="12"/>
                <w:color w:val="auto"/>
              </w:rPr>
              <w:t>(5)</w:t>
            </w:r>
          </w:p>
        </w:tc>
        <w:tc>
          <w:tcPr>
            <w:tcW w:w="2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679,688</w:t>
            </w: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1,403,021</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1,403,021</w:t>
            </w: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1,403,021</w:t>
            </w:r>
          </w:p>
        </w:tc>
        <w:tc>
          <w:tcPr>
            <w:tcW w:w="0" w:type="dxa"/>
            <w:vAlign w:val="bottom"/>
          </w:tcPr>
          <w:p>
            <w:pPr>
              <w:spacing w:after="0"/>
              <w:rPr>
                <w:sz w:val="1"/>
                <w:szCs w:val="1"/>
                <w:color w:val="auto"/>
              </w:rPr>
            </w:pPr>
          </w:p>
        </w:tc>
      </w:tr>
      <w:tr>
        <w:trPr>
          <w:trHeight w:val="188"/>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3,906,724</w:t>
            </w: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542,574</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5,456,684</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5,456,684</w:t>
            </w: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6,032,164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Mr. Chambless</w:t>
            </w:r>
          </w:p>
        </w:tc>
        <w:tc>
          <w:tcPr>
            <w:tcW w:w="21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1,560,268</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2,080,357</w:t>
            </w:r>
          </w:p>
        </w:tc>
        <w:tc>
          <w:tcPr>
            <w:tcW w:w="12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2,080,357</w:t>
            </w: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Officer Retention Plan</w:t>
            </w:r>
            <w:r>
              <w:rPr>
                <w:rFonts w:ascii="Times New Roman" w:cs="Times New Roman" w:eastAsia="Times New Roman" w:hAnsi="Times New Roman"/>
                <w:sz w:val="12"/>
                <w:szCs w:val="12"/>
                <w:color w:val="auto"/>
              </w:rPr>
              <w:t>(2)</w:t>
            </w:r>
          </w:p>
        </w:tc>
        <w:tc>
          <w:tcPr>
            <w:tcW w:w="21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Long-Term Retention Plan</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571,994</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762,659</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762,659</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762,659</w:t>
            </w: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Supplemental Savings Incentive Plan</w:t>
            </w:r>
            <w:r>
              <w:rPr>
                <w:rFonts w:ascii="Times New Roman" w:cs="Times New Roman" w:eastAsia="Times New Roman" w:hAnsi="Times New Roman"/>
                <w:sz w:val="12"/>
                <w:szCs w:val="12"/>
                <w:color w:val="auto"/>
              </w:rPr>
              <w:t>(2)</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2,865,800</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2,865,800</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2,865,800</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2,865,800</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2,865,800</w:t>
            </w: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Annual Bonus Plan</w:t>
            </w:r>
            <w:r>
              <w:rPr>
                <w:rFonts w:ascii="Times New Roman" w:cs="Times New Roman" w:eastAsia="Times New Roman" w:hAnsi="Times New Roman"/>
                <w:sz w:val="12"/>
                <w:szCs w:val="12"/>
                <w:color w:val="auto"/>
              </w:rPr>
              <w:t>(3)</w:t>
            </w:r>
          </w:p>
        </w:tc>
        <w:tc>
          <w:tcPr>
            <w:tcW w:w="21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791,909</w:t>
            </w:r>
          </w:p>
        </w:tc>
        <w:tc>
          <w:tcPr>
            <w:tcW w:w="11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791,909</w:t>
            </w:r>
          </w:p>
        </w:tc>
        <w:tc>
          <w:tcPr>
            <w:tcW w:w="12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791,909</w:t>
            </w:r>
          </w:p>
        </w:tc>
        <w:tc>
          <w:tcPr>
            <w:tcW w:w="9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492,480</w:t>
            </w:r>
          </w:p>
        </w:tc>
        <w:tc>
          <w:tcPr>
            <w:tcW w:w="0" w:type="dxa"/>
            <w:vAlign w:val="bottom"/>
          </w:tcPr>
          <w:p>
            <w:pPr>
              <w:spacing w:after="0"/>
              <w:rPr>
                <w:sz w:val="1"/>
                <w:szCs w:val="1"/>
                <w:color w:val="auto"/>
              </w:rPr>
            </w:pPr>
          </w:p>
        </w:tc>
      </w:tr>
      <w:tr>
        <w:trPr>
          <w:trHeight w:val="175"/>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Performance Plan</w:t>
            </w:r>
            <w:r>
              <w:rPr>
                <w:rFonts w:ascii="Times New Roman" w:cs="Times New Roman" w:eastAsia="Times New Roman" w:hAnsi="Times New Roman"/>
                <w:sz w:val="12"/>
                <w:szCs w:val="12"/>
                <w:color w:val="auto"/>
              </w:rPr>
              <w:t>(5)</w:t>
            </w:r>
          </w:p>
        </w:tc>
        <w:tc>
          <w:tcPr>
            <w:tcW w:w="2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679,688</w:t>
            </w: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1,164,160</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1,164,160</w:t>
            </w: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1,164,160</w:t>
            </w:r>
          </w:p>
        </w:tc>
        <w:tc>
          <w:tcPr>
            <w:tcW w:w="0" w:type="dxa"/>
            <w:vAlign w:val="bottom"/>
          </w:tcPr>
          <w:p>
            <w:pPr>
              <w:spacing w:after="0"/>
              <w:rPr>
                <w:sz w:val="1"/>
                <w:szCs w:val="1"/>
                <w:color w:val="auto"/>
              </w:rPr>
            </w:pPr>
          </w:p>
        </w:tc>
      </w:tr>
      <w:tr>
        <w:trPr>
          <w:trHeight w:val="188"/>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6,469,659</w:t>
            </w: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2,865,800</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7,664,885</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7,664,885</w:t>
            </w: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-1398905</wp:posOffset>
            </wp:positionV>
            <wp:extent cx="6995160" cy="711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71120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-121920</wp:posOffset>
            </wp:positionV>
            <wp:extent cx="4029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2907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-10160</wp:posOffset>
            </wp:positionV>
            <wp:extent cx="402907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29075" cy="26035"/>
                    </a:xfrm>
                    <a:prstGeom prst="rect">
                      <a:avLst/>
                    </a:prstGeom>
                    <a:noFill/>
                  </pic:spPr>
                </pic:pic>
              </a:graphicData>
            </a:graphic>
          </wp:anchor>
        </w:drawing>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Voluntary</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Resignation</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or</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Termination</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Without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Termination</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5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Name and Plans</w:t>
            </w:r>
          </w:p>
        </w:tc>
        <w:tc>
          <w:tcPr>
            <w:tcW w:w="320" w:type="dxa"/>
            <w:vAlign w:val="bottom"/>
          </w:tcPr>
          <w:p>
            <w:pPr>
              <w:spacing w:after="0"/>
              <w:rPr>
                <w:sz w:val="13"/>
                <w:szCs w:val="13"/>
                <w:color w:val="auto"/>
              </w:rPr>
            </w:pPr>
          </w:p>
        </w:tc>
        <w:tc>
          <w:tcPr>
            <w:tcW w:w="118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9"/>
              </w:rPr>
              <w:t>Cause</w:t>
            </w:r>
          </w:p>
        </w:tc>
        <w:tc>
          <w:tcPr>
            <w:tcW w:w="12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for Cause</w:t>
            </w:r>
          </w:p>
        </w:tc>
        <w:tc>
          <w:tcPr>
            <w:tcW w:w="98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Death</w:t>
            </w:r>
          </w:p>
        </w:tc>
        <w:tc>
          <w:tcPr>
            <w:tcW w:w="102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rPr>
              <w:t>Disability</w:t>
            </w:r>
          </w:p>
        </w:tc>
        <w:tc>
          <w:tcPr>
            <w:tcW w:w="11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Retirement</w:t>
            </w: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114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80" w:type="dxa"/>
            <w:vAlign w:val="bottom"/>
          </w:tcPr>
          <w:p>
            <w:pPr>
              <w:ind w:left="240"/>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3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19"/>
        </w:trPr>
        <w:tc>
          <w:tcPr>
            <w:tcW w:w="44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Mr. Fisher</w:t>
            </w:r>
          </w:p>
        </w:tc>
        <w:tc>
          <w:tcPr>
            <w:tcW w:w="3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Long-Term Retention Plan</w:t>
            </w: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611,329</w:t>
            </w: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1,111,508</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1,111,508</w:t>
            </w:r>
          </w:p>
        </w:tc>
        <w:tc>
          <w:tcPr>
            <w:tcW w:w="11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1,111,508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Supplemental Savings Incentive Plan</w:t>
            </w:r>
            <w:r>
              <w:rPr>
                <w:rFonts w:ascii="Times New Roman" w:cs="Times New Roman" w:eastAsia="Times New Roman" w:hAnsi="Times New Roman"/>
                <w:sz w:val="12"/>
                <w:szCs w:val="12"/>
                <w:color w:val="auto"/>
              </w:rPr>
              <w:t>(2)</w:t>
            </w: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260,752</w:t>
            </w: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260,752</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292,960</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292,960</w:t>
            </w:r>
          </w:p>
        </w:tc>
        <w:tc>
          <w:tcPr>
            <w:tcW w:w="11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292,960</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Annual Bonus Plan</w:t>
            </w:r>
            <w:r>
              <w:rPr>
                <w:rFonts w:ascii="Times New Roman" w:cs="Times New Roman" w:eastAsia="Times New Roman" w:hAnsi="Times New Roman"/>
                <w:sz w:val="12"/>
                <w:szCs w:val="12"/>
                <w:color w:val="auto"/>
              </w:rPr>
              <w:t>(3)</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709,550</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709,550</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709,550</w:t>
            </w:r>
          </w:p>
        </w:tc>
        <w:tc>
          <w:tcPr>
            <w:tcW w:w="11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441,263</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Performance Plan</w:t>
            </w:r>
            <w:r>
              <w:rPr>
                <w:rFonts w:ascii="Times New Roman" w:cs="Times New Roman" w:eastAsia="Times New Roman" w:hAnsi="Times New Roman"/>
                <w:sz w:val="12"/>
                <w:szCs w:val="12"/>
                <w:color w:val="auto"/>
              </w:rPr>
              <w:t>(5)</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609,000</w:t>
            </w: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1,043,088</w:t>
            </w:r>
          </w:p>
        </w:tc>
        <w:tc>
          <w:tcPr>
            <w:tcW w:w="3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1,043,088</w:t>
            </w: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1,043,088</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2,190,631</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260,752</w:t>
            </w: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3,157,106</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3,157,106</w:t>
            </w:r>
          </w:p>
        </w:tc>
        <w:tc>
          <w:tcPr>
            <w:tcW w:w="1140" w:type="dxa"/>
            <w:vAlign w:val="bottom"/>
            <w:gridSpan w:val="2"/>
            <w:shd w:val="clear" w:color="auto" w:fill="CCEEFF"/>
          </w:tcPr>
          <w:p>
            <w:pPr>
              <w:ind w:left="6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2,888,819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880" w:right="360" w:hanging="764"/>
        <w:spacing w:after="0" w:line="282" w:lineRule="auto"/>
        <w:tabs>
          <w:tab w:leader="none" w:pos="8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Harrison is the only named executive officer who has satisfied the age and/or service eligibility requirements for retirement under the plans.</w:t>
      </w:r>
    </w:p>
    <w:p>
      <w:pPr>
        <w:spacing w:after="0" w:line="67" w:lineRule="exact"/>
        <w:rPr>
          <w:rFonts w:ascii="Times New Roman" w:cs="Times New Roman" w:eastAsia="Times New Roman" w:hAnsi="Times New Roman"/>
          <w:sz w:val="15"/>
          <w:szCs w:val="15"/>
          <w:color w:val="auto"/>
        </w:rPr>
      </w:pPr>
    </w:p>
    <w:p>
      <w:pPr>
        <w:ind w:left="880" w:right="280" w:hanging="764"/>
        <w:spacing w:after="0" w:line="266" w:lineRule="auto"/>
        <w:tabs>
          <w:tab w:leader="none" w:pos="8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shown for the ORP and the SSIP for the named executive officers assume payment as a lump sum as of December 31, 2020. Participants in the ORP and the SSIP may elect to receive payments in equal monthly installments over a period of 10, 15 or 20 years. The amounts of the installments are based on the discount rates specified in the plans.</w:t>
      </w:r>
    </w:p>
    <w:p>
      <w:pPr>
        <w:spacing w:after="0" w:line="81" w:lineRule="exact"/>
        <w:rPr>
          <w:rFonts w:ascii="Times New Roman" w:cs="Times New Roman" w:eastAsia="Times New Roman" w:hAnsi="Times New Roman"/>
          <w:sz w:val="15"/>
          <w:szCs w:val="15"/>
          <w:color w:val="auto"/>
        </w:rPr>
      </w:pPr>
    </w:p>
    <w:p>
      <w:pPr>
        <w:ind w:left="880" w:right="100" w:hanging="764"/>
        <w:spacing w:after="0" w:line="266" w:lineRule="auto"/>
        <w:tabs>
          <w:tab w:leader="none" w:pos="8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shown for the Annual Bonus Plan (other than a change in control) were calculated using the actual level of achievement of the performance goals for 2020. Amounts shown for the Annual Bonus Plan upon a change in control were calculated assuming the achievement of target performance.</w:t>
      </w:r>
    </w:p>
    <w:p>
      <w:pPr>
        <w:spacing w:after="0" w:line="81" w:lineRule="exact"/>
        <w:rPr>
          <w:rFonts w:ascii="Times New Roman" w:cs="Times New Roman" w:eastAsia="Times New Roman" w:hAnsi="Times New Roman"/>
          <w:sz w:val="15"/>
          <w:szCs w:val="15"/>
          <w:color w:val="auto"/>
        </w:rPr>
      </w:pPr>
    </w:p>
    <w:p>
      <w:pPr>
        <w:jc w:val="both"/>
        <w:ind w:left="880" w:right="180" w:hanging="764"/>
        <w:spacing w:after="0" w:line="266" w:lineRule="auto"/>
        <w:tabs>
          <w:tab w:leader="none" w:pos="8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shown for the Long-Term Performance Equity Plan were calculated assuming the achievement of target performance goals for the three-year performance periods ending in 2020, 2021 and 2022. The amounts were then prorated for the portion of the performance periods Mr. Harrison was employed prior to the date of the triggering event.</w:t>
      </w:r>
    </w:p>
    <w:p>
      <w:pPr>
        <w:spacing w:after="0" w:line="81" w:lineRule="exact"/>
        <w:rPr>
          <w:rFonts w:ascii="Times New Roman" w:cs="Times New Roman" w:eastAsia="Times New Roman" w:hAnsi="Times New Roman"/>
          <w:sz w:val="15"/>
          <w:szCs w:val="15"/>
          <w:color w:val="auto"/>
        </w:rPr>
      </w:pPr>
    </w:p>
    <w:p>
      <w:pPr>
        <w:ind w:left="880" w:right="120" w:hanging="764"/>
        <w:spacing w:after="0" w:line="261" w:lineRule="auto"/>
        <w:tabs>
          <w:tab w:leader="none" w:pos="8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shown for the Long-Term Performance Plan were calculated using the actual level of achievement of the performance goals for the 2018-2020 performance period and assuming the achievement of target performance goals for the three-year performance periods ending in 2020, 2021 and 2022. The amounts for the three-year performance periods ending in 2020, 2021 and 2022 were then prorated for the portion of the performance periods the executive was employed prior to the date of the triggering event.</w:t>
      </w:r>
    </w:p>
    <w:p>
      <w:pPr>
        <w:spacing w:after="0" w:line="13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None of the Company’s executive officers, including the named executive officers, have any special employment or severance agreements. The executive officers are entitled, however, to certain payments (as illustrated in the above table) under the terms of the Company’s existing compensation and benefit plans in connection with the termination of their employment or a change in control of the Company. The following narrative describes the terms of those plans as they relate to a termination of employment or a change in control.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Officer Retention Plan</w:t>
      </w:r>
    </w:p>
    <w:p>
      <w:pPr>
        <w:spacing w:after="0" w:line="10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ORP, the material terms of which are described beginning on page 47, contains special provisions for severance, death, total disability or a change in control.</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event of death or total disability, each participant becomes fully vested in the amount of the participant’s accrued benefit under the ORP.</w:t>
      </w:r>
    </w:p>
    <w:p>
      <w:pPr>
        <w:spacing w:after="0" w:line="11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Upon termination without cause or voluntary resignation, each participant’s accrued benefit is 50% vested until age 51, with the vesting percentage increasing by 5% each year beginning at age 51 until fully vested at age 60. All rights to any benefits under the ORP are forfeited if a participant is terminated for cause.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of the Company, each participant is entitled to an amount equal to the normal retirement benefit otherwise payable to the participant at age 60 under the ORP. A “change in control” occurs under the ORP:</w:t>
      </w:r>
    </w:p>
    <w:p>
      <w:pPr>
        <w:spacing w:after="0" w:line="67" w:lineRule="exact"/>
        <w:rPr>
          <w:sz w:val="20"/>
          <w:szCs w:val="20"/>
          <w:color w:val="auto"/>
        </w:rPr>
      </w:pPr>
    </w:p>
    <w:p>
      <w:pPr>
        <w:ind w:left="1080" w:right="6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other than the Harrison Family acquires shares of the Company’s capital stock having the voting power to designate a majority of the Board;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other than the Harrison Family acquires or possesses shares of the Company’s capital stock having power to cast</w:t>
      </w:r>
    </w:p>
    <w:p>
      <w:pPr>
        <w:spacing w:after="0" w:line="27" w:lineRule="exact"/>
        <w:rPr>
          <w:rFonts w:ascii="Times New Roman" w:cs="Times New Roman" w:eastAsia="Times New Roman" w:hAnsi="Times New Roman"/>
          <w:sz w:val="18"/>
          <w:szCs w:val="18"/>
          <w:color w:val="auto"/>
        </w:rPr>
      </w:pPr>
    </w:p>
    <w:p>
      <w:pPr>
        <w:ind w:left="108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than 20% of the votes regarding the election of the Board and (B) a greater percentage of the votes regarding the election of the Board than the shares owned by the Harrison Family;</w:t>
      </w:r>
    </w:p>
    <w:p>
      <w:pPr>
        <w:spacing w:after="0" w:line="86"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sale or disposition of all or substantially all of the Company’s assets and the assets of the Company’s subsidiaries outside the ordinary course of business other than to a person or group controlled by the Company or the Harrison Family;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merger or consolidation of the Company with another entity where the Company is not the surviving entity.</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death benefit under the ORP is payable in a lump sum. The other severance and change in control benefits are payable in equal monthly installments over a period of 10, 15 or 20 years, as elected by the participant. The amount of each monthly installment is computed using an 8% discount rate using simple interest compounded annually. The change in control benefit is also payable in a lump sum, at the election of the participant.</w:t>
      </w:r>
    </w:p>
    <w:p>
      <w:pPr>
        <w:spacing w:after="0" w:line="68"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Under the ORP, each participant has generally agreed not to compete with the Company for three years after termination from employment for any reason. The non-compete provision does not apply to actions occurring after both a termination of employment and a change in control of the Company.</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Supplemental Savings Incentive Plan and Long-Term Retention Plan</w:t>
      </w:r>
    </w:p>
    <w:p>
      <w:pPr>
        <w:spacing w:after="0" w:line="10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SSIP and the LTRP also provide for the payment of the named executive officers’ vested account balances upon termination of employment, death or a change in control. A “termination of employment” occurs under the SSIP upon a participant’s severance, retirement or attainment of age 55 while totally disabled. A “termination of employment” occurs under the LTRP upon a participant’s severance, retirement or total disability. The definition of a “change in control” is the same definition used for the ORP, as described above. The material terms of the SSIP and the LTRP, including the options to receive lump sum or installment payments, are described beginning on pages 48 and 49, respectively.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 Plan</w:t>
      </w:r>
    </w:p>
    <w:p>
      <w:pPr>
        <w:spacing w:after="0" w:line="10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Annual Bonus Plan, the material terms of which are described beginning on page 33, provides for certain payments to the named executive officers in the event of a termination of their employment or a change in control of the Company.</w:t>
      </w:r>
    </w:p>
    <w:p>
      <w:pPr>
        <w:spacing w:after="0" w:line="54"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In the event of the total disability, retirement or death of a participant during any fiscal year, the participant (or the participant’s estate) is entitled to a pro-rata bonus based on the portion of the fiscal year completed by the participant and the actual overall goal achievement factor attained for that year.</w:t>
      </w:r>
    </w:p>
    <w:p>
      <w:pPr>
        <w:spacing w:after="0" w:line="3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each participant is entitled to a pro-rata portion of the participant’s target award under the Annual Bonus Plan, based on the portion of the year completed.</w:t>
      </w:r>
    </w:p>
    <w:p>
      <w:pPr>
        <w:spacing w:after="0" w:line="5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term “retirement” is defined in the Annual Bonus Plan as a participant’s termination of employment other than on account of death and (i) after attaining age 60, (ii) after attaining age 55 and completing 20 years of service or (iii) as the result of total disability. The definition of a “change in control” is the same definition used for the ORP,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Performance Plan</w:t>
      </w:r>
    </w:p>
    <w:p>
      <w:pPr>
        <w:spacing w:after="0" w:line="10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Long-Term Performance Plan, the material terms of which are described beginning on page 36, also provides for certain payments to the named executive officers in the event of a termination of their employment or a change in control of the Company.</w:t>
      </w:r>
    </w:p>
    <w:p>
      <w:pPr>
        <w:spacing w:after="0" w:line="5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event of the total disability, retirement or death of a participant after the completion of the first year of a performance period but prior to the end of a performance period, and in the event of the subsequent attainment of the performance goals applicable to such participant, the participant (or the participant’s estate) is entitled to a pro-rata award based on the portion of the performance period completed by the participant.</w:t>
      </w:r>
    </w:p>
    <w:p>
      <w:pPr>
        <w:spacing w:after="0" w:line="6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each participant is entitled to a pro-rata portion of the participant’s target award for the performance period, based on the portion of the performance period completed.</w:t>
      </w:r>
    </w:p>
    <w:p>
      <w:pPr>
        <w:spacing w:after="0" w:line="5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definition of “retirement” is the same definition used for the Annual Bonus Plan, as described above. The definition of a “change in control” is the same definition used for the ORP, as described above.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Performance Equity Plan</w:t>
      </w:r>
    </w:p>
    <w:p>
      <w:pPr>
        <w:spacing w:after="0" w:line="10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Long-Term Performance Equity Plan, the material terms of which are described on page 39, also provides for certain payments to Mr. Harrison in the event of a termination of his employment or a change in control of the Company.</w:t>
      </w:r>
    </w:p>
    <w:p>
      <w:pPr>
        <w:spacing w:after="0" w:line="5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the event of Mr. Harrison’s total disability, retirement or death after the completion of the first year of a performance period but prior to the end of a performance period, and in the event of the subsequent attainment of the performance goals applicable to him, Mr. Harrison (or his estate) is entitled to a pro-rata award based on the portion of the performance period completed by him.</w:t>
      </w:r>
    </w:p>
    <w:p>
      <w:pPr>
        <w:spacing w:after="0" w:line="6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Mr. Harrison is entitled to a pro-rata portion of his target award for the performance period, based on the portion of the performance period completed.</w:t>
      </w:r>
    </w:p>
    <w:p>
      <w:pPr>
        <w:spacing w:after="0" w:line="5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definition of “retirement” is the same definition used for the Annual Bonus Plan, as described above. The definition of a “change in control” is the same definition used for the ORP, as described above.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VI. Pay Ratio Disclosure</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SEC rules require the Company to disclose annually (i) the median annual total compensation of all employees of the Company (excluding</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Mr. Harrison, the Company’s principal executive officer); (ii) the annual total compensation of Mr. Harrison; and (iii) the ratio of Mr. Harrison’s annual total compensation to the median annual total compensation of all employees of the Company (excluding Mr. Harrison).</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on the methodology and material assumptions described below, the Company has estimated these amounts to be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Median annual total compensation of all employees (excluding Mr. Harrison)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55,940</w:t>
            </w:r>
          </w:p>
        </w:tc>
      </w:tr>
      <w:tr>
        <w:trPr>
          <w:trHeight w:val="203"/>
        </w:trPr>
        <w:tc>
          <w:tcPr>
            <w:tcW w:w="8780" w:type="dxa"/>
            <w:vAlign w:val="bottom"/>
          </w:tcPr>
          <w:p>
            <w:pPr>
              <w:spacing w:after="0"/>
              <w:rPr>
                <w:sz w:val="20"/>
                <w:szCs w:val="20"/>
                <w:color w:val="auto"/>
              </w:rPr>
            </w:pPr>
            <w:r>
              <w:rPr>
                <w:rFonts w:ascii="Times New Roman" w:cs="Times New Roman" w:eastAsia="Times New Roman" w:hAnsi="Times New Roman"/>
                <w:sz w:val="16"/>
                <w:szCs w:val="16"/>
                <w:color w:val="auto"/>
              </w:rPr>
              <w:t>Annual total compensation of Mr. Harrison</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12,467,192</w:t>
            </w:r>
          </w:p>
        </w:tc>
      </w:tr>
      <w:tr>
        <w:trPr>
          <w:trHeight w:val="20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Mr. Harrison’s annual total compensation to the median annual total compensation of all other employees</w:t>
            </w: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w:t>
            </w:r>
          </w:p>
        </w:tc>
      </w:tr>
    </w:tbl>
    <w:p>
      <w:pPr>
        <w:spacing w:after="0" w:line="90"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To determine the median employee in 2020, the Company compiled a list of all employees (excluding Mr. Harrison) as of December 15, 2020, sorted the list of employees by their taxable compensation for federal income tax purposes from the Company’s payroll records for the 12-month period ended December 31, 2020 and selected the employee with the median taxable compensation amount. The Company annualized the taxable compensation of any full-time or part-time employees on the list who were not employed for the full year and did not include the value of non-taxable Company-provided benefits such as retirement plan contributions and medical and life insurance benefits. As of December 31, 2020, the Company had 15,836 employees.</w:t>
      </w:r>
    </w:p>
    <w:p>
      <w:pPr>
        <w:spacing w:after="0" w:line="6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annual total compensation of Mr. Harrison is the total amount of his compensation presented in the 2020 Summary Compensation Table on page 42. The Company determined the annual total compensation of the median employee shown above using the same rules applicable to the completion of the 2020 Summary Compensation Table for Mr. Harrison and the other named executive officers.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Equity Compensation Plan Information</w:t>
      </w:r>
    </w:p>
    <w:p>
      <w:pPr>
        <w:spacing w:after="0" w:line="13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2020, concerning the Company’s outstanding equity compensation arrangements as of that date: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securities to</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be issued upon</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80" w:type="dxa"/>
            <w:vAlign w:val="bottom"/>
          </w:tcPr>
          <w:p>
            <w:pPr>
              <w:spacing w:after="0"/>
              <w:rPr>
                <w:sz w:val="14"/>
                <w:szCs w:val="14"/>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62"/>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0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40" w:type="dxa"/>
            <w:vAlign w:val="bottom"/>
            <w:gridSpan w:val="2"/>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5"/>
                <w:szCs w:val="15"/>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96"/>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20" w:type="dxa"/>
            <w:vAlign w:val="bottom"/>
            <w:tcBorders>
              <w:top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2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6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550,000</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880" w:right="60" w:hanging="764"/>
        <w:spacing w:after="0" w:line="261" w:lineRule="auto"/>
        <w:tabs>
          <w:tab w:leader="none" w:pos="8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sum of (i) 250,000 shares of Coke Consolidated Common Stock reserved for issuance pursuant to awards that may be made in the future under the Coca-Cola Consolidated, Inc. Amended and Restated Long-Term Performance Plan and (ii) 300,000 shares of Coke Consolidated Class B Common Stock reserved for issuance pursuant to awards that may be made in the future under the Coca-Cola Consolidated, Inc. Long-Term Performance Equity Plan.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Consideration of Risk Related to Compensation Programs</w:t>
      </w:r>
    </w:p>
    <w:p>
      <w:pPr>
        <w:spacing w:after="0" w:line="1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has considered its compensation policies and practices for all employees and determined that any risks arising from such policies and practices are not reasonably likely to have a material adverse effect on Coke Consolidated. As described in the “Compensation Discussion and Analysis” section beginning on page 30, the Compensation Committee and management have designed Coke Consolidated’s executive compensation program to achieve a number of goals, including the following:</w:t>
      </w:r>
    </w:p>
    <w:p>
      <w:pPr>
        <w:spacing w:after="0" w:line="85" w:lineRule="exact"/>
        <w:rPr>
          <w:sz w:val="20"/>
          <w:szCs w:val="20"/>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Motivating the executive officers to achieve Coke Consolidated’s annual and long-term strategic goals and rewarding performance based on the attainment of those goals;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balancing risk and reward in the context of the Company’s business environment and long-range business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affordable and appropriately aligned with stockholder interests;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reasonable balance across types and purposes of compensation, particularly with respect to fixed compensation objectives, short-term and long-term performance-based objectives and retention and retirement objectives.</w:t>
      </w:r>
    </w:p>
    <w:p>
      <w:pPr>
        <w:spacing w:after="0" w:line="5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 light of these goals, the Compensation Committee, senior management and human resources personnel have considered risk as they designed the various elements of the Company’s compensation programs.</w:t>
      </w:r>
    </w:p>
    <w:p>
      <w:pPr>
        <w:spacing w:after="0" w:line="5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Company notes the following factors with respect to the determination that any risks arising from the compensation policies and practices are not reasonably likely to have a material adverse effect on Coke Consolidated:</w:t>
      </w:r>
    </w:p>
    <w:p>
      <w:pPr>
        <w:spacing w:after="0" w:line="67" w:lineRule="exact"/>
        <w:rPr>
          <w:sz w:val="20"/>
          <w:szCs w:val="20"/>
          <w:color w:val="auto"/>
        </w:rPr>
      </w:pPr>
    </w:p>
    <w:p>
      <w:pPr>
        <w:ind w:left="1080" w:right="24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Company’s compensation programs are reasonably balanced across types of compensation and the various objectives they are designed to reward;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Coke Consolidated does not engage in compensation benchmarking, the Company does retain a compensation consultant to conduct comparative studies of the Company’s executive compensation relative to peer companies and survey data;</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Plan, the Long-Term Performance Plan and the Long-Term Performance Equity Plan provide for payouts based on the achievement of key financial goals under Coke Consolidated’s long-range strategic plan and provide for increased payout as financial performance increases and less or no payout as financial performance decreases. Awards under these plans do not provide for payouts based on individual transactions that could transfer liability to Coke Consolidated beyond the award date;</w:t>
      </w:r>
    </w:p>
    <w:p>
      <w:pPr>
        <w:spacing w:after="0" w:line="85"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corporate performance goals for the Annual Bonus Plan, the Long-Term Performance Plan and the Long-Term Performance Equity Plan are initially developed based on the Company’s annual budget. The Executive Vice President and Chief Financial Officer and the Executive Vice President, General Counsel and Secretary of Coke Consolidated then use financial models to determine the appropriate award criteria and target goals for each plan. The financial models and plan goals are reviewed with and approved by the Chairman and Chief Executive Officer and the President and Chief Operating Officer of Coke Consolidated before being presented to, reviewed with and approved by the Compensation Committee;</w:t>
      </w:r>
    </w:p>
    <w:p>
      <w:pPr>
        <w:spacing w:after="0" w:line="92"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 are generally based on corporate and individual performance and are not based on other goals that may create increased risk such as the performance of individual business units or the accomplishment of particular tasks where the income and risk from the tasks extend over a significantly longer period of time;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an Incentive Compensation Recovery Policy that authorizes the Compensation Committee, within 12 months of any restatement of the Company’s financial results due to material noncompliance by the Company with any financial reporting requirement under the federal securities laws, to seek to recover from any executive officers whose intentional misconduct, gross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negligence or fraud led to the restatement all or any portion of any performance-based compensation received by such executive officers within the three years preceding such restatement. The Incentive Compensation Recovery Policy also authorizes the Compensation Committee to seek to recover from the Chief Executive Officer, the Chief Financial Officer and the Chief Operating Officer all or any portion of the performance-based compensation that would not have been awarded or earned during the three years preceding the restatement had it been calculated on the basis of the restated financial results.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455" w:right="6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Sharon A. Decker, James H. Morgan, Dennis A. Wicker and Richard T. Williams served on the Compensation Committee in fiscal 2020. None of the directors who served on the Compensation Committee in fiscal 2020 has ever served as one of the Company’s officers or employees or had any relationship with the Company or any of its subsidiaries since the beginning of fiscal 2020 pursuant to which disclosure would be required under the SEC rules pertaining to the disclosure of transactions with related persons. During fiscal 2020, none of the Company’s executive officers served as a director or a member of the compensation committee (or other committee performing similar functions) of any other entity of which an executive officer of such other entity served on the Board or its Compensation Committee.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Compensation Committee Report</w:t>
      </w:r>
    </w:p>
    <w:p>
      <w:pPr>
        <w:spacing w:after="0" w:line="1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section included in this Proxy Statement with management and, based on such review and discussions, recommended to the Board that the “Compensation Discussion and Analysis” section be included in this Proxy Statement and in Coke Consolidated’s Annual Report on Form 10-K for fiscal 2020.</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Compensation Committee of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Dennis A. Wicker, Chairman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Sharon A. Decker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H. Morgan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T. Williams</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Audit Committee Report</w:t>
      </w:r>
    </w:p>
    <w:p>
      <w:pPr>
        <w:spacing w:after="0" w:line="1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oversight of all material aspects of the accounting and financial reporting processes, internal controls and internal audit function of the Company, including its compliance with Section 404 of the Sarbanes-Oxley Act of 2002. Management has primary responsibility for the Company’s consolidated financial statements and reporting processes, including its internal controls and disclosure controls and procedures. The Company’s independent registered public accounting firm, PricewaterhouseCoopers LLP, is responsible for performing an independent audit of the consolidated financial statements in accordance with the standards of the Public Company Accounting Oversight Board and expressing an opinion on the conformity of those audited consolidated financial statements with GAAP.</w:t>
      </w:r>
    </w:p>
    <w:p>
      <w:pPr>
        <w:spacing w:after="0" w:line="7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audited consolidated financial statements included in the Company’s Annual Report on Form 10-K for fiscal 2020. This review included a discussion of the quality and acceptability of the Company’s financial reporting and internal controls. During the past fiscal year, the Audit Committee discussed with the Company’s independent registered public accounting firm the matters required to be discussed by applicable requirements of the Public Company Accounting Oversight Board and the SEC. The Audit Committee also received during the past fiscal year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8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Based on the reviews, discussions and disclosures referred to above, the Audit Committee recommended to the Board that the audited consolidated financial statements of the Company for fiscal 2020 be included in its Annual Report on Form 10-K for such fiscal year.</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H. Morgan, Chairman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Sharon A. Decker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R. Helvey, III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William H. Jones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Dennis A. Wicker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Proposal 2:</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Ratification of the Appointment of</w:t>
      </w:r>
    </w:p>
    <w:p>
      <w:pPr>
        <w:jc w:val="center"/>
        <w:ind w:right="-99"/>
        <w:spacing w:after="0"/>
        <w:rPr>
          <w:sz w:val="20"/>
          <w:szCs w:val="20"/>
          <w:color w:val="auto"/>
        </w:rPr>
      </w:pPr>
      <w:r>
        <w:rPr>
          <w:rFonts w:ascii="Arial" w:cs="Arial" w:eastAsia="Arial" w:hAnsi="Arial"/>
          <w:sz w:val="27"/>
          <w:szCs w:val="27"/>
          <w:b w:val="1"/>
          <w:bCs w:val="1"/>
          <w:color w:val="auto"/>
        </w:rPr>
        <w:t>Independent Registered Public Accounting Firm</w:t>
      </w:r>
    </w:p>
    <w:p>
      <w:pPr>
        <w:spacing w:after="0" w:line="19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PricewaterhouseCoopers LLP to serve as the Company’s independent registered public accounting firm for fiscal 2021. The Audit Committee reviewed and discussed the performance of PricewaterhouseCoopers LLP for fiscal 2020 prior to its appointment of PricewaterhouseCoopers LLP to serve as the Company’s independent registered public accounting firm for fiscal 2021.</w:t>
      </w:r>
    </w:p>
    <w:p>
      <w:pPr>
        <w:spacing w:after="0" w:line="68"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expects that representatives of PricewaterhouseCoopers LLP will participate in the Annual Meeting, and the representatives will have an opportunity to make a statement if they desire to do so. The Company also expects that the representatives will be available to respond to appropriate questions from stockholders.</w:t>
      </w:r>
    </w:p>
    <w:p>
      <w:pPr>
        <w:spacing w:after="0" w:line="6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Stockholder ratification of the Audit Committee’s appointment of PricewaterhouseCoopers LLP to serve as the Company’s independent registered public accounting firm for fiscal 2021 is not required by the By-laws or otherwise. Nevertheless, the Board is submitting the appointment of PricewaterhouseCoopers LLP to the Company’s stockholders for ratification as a matter of good corporate governance. If the Company’s stockholders fail to ratify the appointment, the Audit Committee will reconsider its appointment of PricewaterhouseCoopers LLP. Even if this appointment is ratified, the Audit Committee, in its discretion, may direct the appointment of a different independent registered public accounting firm at any time during the fiscal year if the Audit Committee determines that such a change would be in the best interests of the Company and its stockholders.</w:t>
      </w:r>
    </w:p>
    <w:p>
      <w:pPr>
        <w:spacing w:after="0" w:line="7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that you vote “FOR” the ratification of the appointment of PricewaterhouseCoopers LLP to serve as the Company’s independent registered public accounting firm for fiscal 2021. </w:t>
      </w:r>
      <w:r>
        <w:rPr>
          <w:rFonts w:ascii="Times New Roman" w:cs="Times New Roman" w:eastAsia="Times New Roman" w:hAnsi="Times New Roman"/>
          <w:sz w:val="18"/>
          <w:szCs w:val="18"/>
          <w:color w:val="auto"/>
        </w:rPr>
        <w:t>Unless otherwise specified, proxies will be voted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ratification of the appointment of PricewaterhouseCoopers LLP to serve as the Company’s independent registered public accounting firm for fiscal 2021.</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Fees Paid to Independent Registered Public Accounting Firm</w:t>
      </w:r>
    </w:p>
    <w:p>
      <w:pPr>
        <w:spacing w:after="0" w:line="116"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The following table presents fees for professional audit services rendered by PricewaterhouseCoopers LLP for the audit of the Company’s consolidated financial statements for fiscal 2020 and fiscal 2019 and fees billed for other services rendered by PricewaterhouseCoopers LLP during those periods: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14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Fiscal 2020</w:t>
            </w: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Fiscal 2019</w:t>
            </w:r>
          </w:p>
        </w:tc>
      </w:tr>
      <w:tr>
        <w:trPr>
          <w:trHeight w:val="159"/>
        </w:trPr>
        <w:tc>
          <w:tcPr>
            <w:tcW w:w="91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1,740,700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1,768,500</w:t>
            </w:r>
          </w:p>
        </w:tc>
        <w:tc>
          <w:tcPr>
            <w:tcW w:w="60" w:type="dxa"/>
            <w:vAlign w:val="bottom"/>
            <w:shd w:val="clear" w:color="auto" w:fill="CCEEFF"/>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23"/>
                <w:szCs w:val="23"/>
                <w:color w:val="auto"/>
                <w:vertAlign w:val="superscript"/>
              </w:rPr>
              <w:t>(2)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72,000</w:t>
            </w:r>
          </w:p>
        </w:tc>
      </w:tr>
      <w:tr>
        <w:trPr>
          <w:trHeight w:val="203"/>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1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23"/>
                <w:szCs w:val="23"/>
                <w:color w:val="auto"/>
                <w:vertAlign w:val="superscript"/>
              </w:rPr>
              <w:t>(3)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665,740</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18"/>
                <w:szCs w:val="18"/>
                <w:color w:val="auto"/>
              </w:rPr>
            </w:pPr>
          </w:p>
        </w:tc>
      </w:tr>
      <w:tr>
        <w:trPr>
          <w:trHeight w:val="203"/>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2,406,440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1,880,500</w:t>
            </w:r>
          </w:p>
        </w:tc>
      </w:tr>
      <w:tr>
        <w:trPr>
          <w:trHeight w:val="20"/>
        </w:trPr>
        <w:tc>
          <w:tcPr>
            <w:tcW w:w="9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880" w:right="200" w:hanging="764"/>
        <w:spacing w:after="0" w:line="281" w:lineRule="auto"/>
        <w:tabs>
          <w:tab w:leader="none" w:pos="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Audit Fees consist of the aggregate fees billed for the respective fiscal year for professional services rendered by the independent registered public accounting firm for the audit of the Company’s annual consolidated financial statements and reviews of the Company’s interim consolidated financial statements. Audit Fees also consist of the aggregate fees billed for the respective fiscal year for services that are normally provided by the independent registered public accounting firm in connection with statutory and regulatory filings or engagements.</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80" w:right="260" w:hanging="764"/>
        <w:spacing w:after="0" w:line="266" w:lineRule="auto"/>
        <w:tabs>
          <w:tab w:leader="none" w:pos="8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Audit-Related Fees consist of the aggregate fees billed for fiscal 2019 related to permitted services rendered by the independent registered public accounting firm associated with various initiatives by the Company, including assurance and related services provided for a consolidated subsidiary.</w:t>
      </w:r>
    </w:p>
    <w:p>
      <w:pPr>
        <w:spacing w:after="0" w:line="27" w:lineRule="exact"/>
        <w:rPr>
          <w:rFonts w:ascii="Times New Roman" w:cs="Times New Roman" w:eastAsia="Times New Roman" w:hAnsi="Times New Roman"/>
          <w:sz w:val="15"/>
          <w:szCs w:val="15"/>
          <w:color w:val="auto"/>
        </w:rPr>
      </w:pPr>
    </w:p>
    <w:p>
      <w:pPr>
        <w:ind w:left="880" w:hanging="764"/>
        <w:spacing w:after="0" w:line="282" w:lineRule="auto"/>
        <w:tabs>
          <w:tab w:leader="none" w:pos="8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Other Fees consist of the aggregate fees billed for the respective fiscal year for travel and other out-of-pocket expenses of the independent registered public accounting firm and, for fiscal 2020, for a non-assurance consulting project.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 Pre-Approval of Audit and Non-Audit Services</w:t>
      </w:r>
    </w:p>
    <w:p>
      <w:pPr>
        <w:spacing w:after="0" w:line="116"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to be performed by the independent registered public accounting firm. These services may include audit services, audit-related services, tax services and other services. All such services provided in fiscal 2020 were pre-approved by the Audit Committee. Pre-approval is generally provided for up to one year and any pre-approval is detailed as to the particular service or category of services and is generally subject to a specific budget. The independent registered public accounting firm and management are required to periodically report to the full Audit Committee regarding the extent of services provided by the independent registered public accounting firm in accordance with this pre-approval, and the fees for the services performed to date.</w:t>
      </w:r>
    </w:p>
    <w:p>
      <w:pPr>
        <w:spacing w:after="0" w:line="7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Audit Committee has delegated pre-approval authority to its chairman when necessary due to timing considerations. Any services pre-approved by such chairman must be reported to the full Audit Committee at its next scheduled meeting.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27"/>
          <w:szCs w:val="27"/>
          <w:b w:val="1"/>
          <w:bCs w:val="1"/>
          <w:color w:val="auto"/>
        </w:rPr>
        <w:t>Proposal 3:</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7"/>
          <w:szCs w:val="27"/>
          <w:b w:val="1"/>
          <w:bCs w:val="1"/>
          <w:color w:val="auto"/>
        </w:rPr>
        <w:t>Stockholder Proposal</w:t>
      </w:r>
    </w:p>
    <w:p>
      <w:pPr>
        <w:spacing w:after="0" w:line="19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Coke Consolidated has been notified that the International Brotherhood of Teamsters General Fund (the “Proponent”) intends to present the proposal set forth below for consideration at the Annual Meeting. The address and number of shares of Coke Consolidated Common Stock held by the Proponent will be promptly provided upon oral or written request made to the Company’s Secretary. The Company is not responsible for the content of the stockholder proposal, which is printed below exactly as it was submitted.</w:t>
      </w:r>
    </w:p>
    <w:p>
      <w:pPr>
        <w:spacing w:after="0" w:line="6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stockholders of Coca-Cola Consolidated, Inc. (the “Company”), request that the Board of Directors retain an investment banker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 plan for recapitalization to result in one vote per share for all outstanding common stock.</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SUPPORTING STATEMENT:</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According to the 2020 proxy statement, the Company had 7,141,447 shares of common stock outstanding, carrying one vote per share, and 2,232,242 shares of Class B common stock, which entitle the holder to 20 votes per share. Members of the Harrison family, including chairman and CEO J. Frank Harrison III, hold 99.99% of all of the outstanding Class B common shares, granting Harrison family members control of 86% of the voting power despite holding less than 24% of the common equity. This imbalance between ownership and control may further be exacerbated by the use of Class B common shares to compensate CEO Harrison; and, the right of Harrison family members to acquire an additional 292,386 Class B shares in exchange for an equal number of common shares.</w:t>
      </w:r>
    </w:p>
    <w:p>
      <w:pPr>
        <w:spacing w:after="0" w:line="7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 2008 study by Harvard’s Paul Gompers, et al., (</w:t>
      </w:r>
      <w:r>
        <w:rPr>
          <w:rFonts w:ascii="Times New Roman" w:cs="Times New Roman" w:eastAsia="Times New Roman" w:hAnsi="Times New Roman"/>
          <w:sz w:val="18"/>
          <w:szCs w:val="18"/>
          <w:u w:val="single" w:color="auto"/>
          <w:color w:val="auto"/>
        </w:rPr>
        <w:t>https://papers.ssrn.com/sol3/papers.cfm?abstract_id=562511</w:t>
      </w:r>
      <w:r>
        <w:rPr>
          <w:rFonts w:ascii="Times New Roman" w:cs="Times New Roman" w:eastAsia="Times New Roman" w:hAnsi="Times New Roman"/>
          <w:sz w:val="18"/>
          <w:szCs w:val="18"/>
          <w:color w:val="auto"/>
        </w:rPr>
        <w:t>) found that dual-class structures with disparate voting rights were correlated with lower firm value. The study cautioned that a majority owner “can rationally choose to sacrifice some firm value in order to maintain private benefits of control.”</w:t>
      </w:r>
    </w:p>
    <w:p>
      <w:pPr>
        <w:spacing w:after="0" w:line="68"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Company’s 2019 Annual Report (10-K) acknowledged that the concentration of ownership could result in the “Company making decisions that stockholders outside the Harrison family may not view as beneficial.”</w:t>
      </w:r>
    </w:p>
    <w:p>
      <w:pPr>
        <w:spacing w:after="0" w:line="5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believe these risks are heightened by the Board, which, as of last year’s annual shareholder meeting included: six non-independent directors; lacked a standing nominating committee; had a combined CEO-chairman; and, paid non-employee directors entirely in cash, resulting in five of the seven independent directors holding no equity stake whatsoever in the Company.</w:t>
      </w:r>
    </w:p>
    <w:p>
      <w:pPr>
        <w:spacing w:after="0" w:line="68"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believe the current dual-class stock structure makes it difficult for the Board to oversee the stewardship of the Company for the benefit of all shareholders.</w:t>
      </w:r>
    </w:p>
    <w:p>
      <w:pPr>
        <w:spacing w:after="0" w:line="5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thus, urge the Board to retain an investment banking firm to make appropriate recommendations on methods to move towards creating a single class of common stock. At last year’s shareholder meeting, this proposal won the support of a majority of common share votes cast.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of Directors’ Statement in Opposition to the Proposal</w:t>
      </w:r>
    </w:p>
    <w:p>
      <w:pPr>
        <w:spacing w:after="0" w:line="112"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that you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stockholder proposal. The Board believes that adopting this proposal would not be in the best interests of Coke Consolidated or its stockholders and opposes it for the reasons discussed below. The Company’s stockholders defeated a virtually identical proposal submitted by the Proponent at the Company’s 2019 and 2020 Annual Meetings of Stockholders with more than 93% of the votes cast against each of the proposals.</w:t>
      </w:r>
    </w:p>
    <w:p>
      <w:pPr>
        <w:spacing w:after="0" w:line="7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Coke Consolidated’s capital structure, with two classes of common stock outstanding (Common Stock with one vote per share and Class B Common Stock with 20 votes per share), has been in place since 1984. Every investor purchasing shares of Coke Consolidated Common Stock since then has had notice of this capital structure, which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is disclosed in detail in the Company’s public filings with the SEC. The Board of Directors believes that many of Coke Consolidated’s investors are attracted to Coke Consolidated Common Stock because of the long-term stability that the Harrison family provides to the Company. Members of the Harrison family have played an important role in the Company since its formation in 1902. J. Frank Harrison, III not only is the great-grandson of Coke Consolidated’s founder as well as the Controlling Stockholder but he also is the Company’s Chairman and Chief Executive Officer and has been an employee of the Company since 1977. With more than 40 years of experience with Coke Consolidated, Mr. Harrison possesses a vital understanding and appreciation of the Company’s business.</w:t>
      </w:r>
    </w:p>
    <w:p>
      <w:pPr>
        <w:spacing w:after="0" w:line="7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Coke Consolidated’s capital structure has contributed, and continues to contribute, to the Company’s stability and long-term stockholder returns. Coke Consolidated’s capital structure has helped protect the Company from short-term pressures and the disruption associated with efforts by activists to challenge control of the Company, thereby allowing the Board and senior management to focus on the Company’s long-term success. The Board believes that Coke Consolidated’s capital structure and the stability it promotes have driven, and will continue to drive, long-term value for the Company’s stockholders.</w:t>
      </w:r>
    </w:p>
    <w:p>
      <w:pPr>
        <w:spacing w:after="0" w:line="7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Coke Consolidated has a well-developed governance structure that demonstrates the Board of Directors’ commitment to fostering independence, avoiding conflicts of interest and providing for strong and independent oversight of the Company’s business. Seven of the 13 members of the Board are independent under applicable SEC rules and NASDAQ listing standards and only independent directors serve on the Audit Committee and the Compensation Committee. All directors are elected annually and are required to act in the best interests of all stockholders in accordance with their fiduciary duties under Delaware law. Additionally, the Board of Directors has a Lead Independent Director elected annually by the Board. The independent members of the Board meet at least twice each year in executive session without the other directors. Any transactions that could potentially be required to be reported under the SEC rules for disclosure of transactions with related persons, including transactions with the Company’s executive officers or directors, nominees for election as directors of the Company, beneficial owners of at least 5% of any class of the Company’s voting securities, or immediate family members of any of the foregoing, must be reviewed and approved or ratified pursuant to the Company’s written policy and procedures for the review, approval or ratification of related person transactions.</w:t>
      </w:r>
    </w:p>
    <w:p>
      <w:pPr>
        <w:spacing w:after="0" w:line="8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Finally, any plan for a recapitalization as contemplated by this stockholder proposal would, under Delaware law and the Company’s Restated Certificate of Incorporation, as amended, require approval by the holders of Class B Common Stock voting separately as a class. Mr. Harrison controls approximately 99.99% of the outstanding shares of Class B Common Stock and has informed the Company that he does not intend to approve this stockholder proposal, or the recapitalization plan contemplated by this proposal. Consequently, the proposal cannot accomplish the result intended by the Proponent and would therefore needlessly consume corporate resources.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considering the above, the Board of Directors unanimously approved this statement in opposition.</w:t>
      </w:r>
    </w:p>
    <w:p>
      <w:pPr>
        <w:spacing w:after="0" w:line="11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that you vote “AGAINST” this stockholder proposal. </w:t>
      </w:r>
      <w:r>
        <w:rPr>
          <w:rFonts w:ascii="Times New Roman" w:cs="Times New Roman" w:eastAsia="Times New Roman" w:hAnsi="Times New Roman"/>
          <w:sz w:val="18"/>
          <w:szCs w:val="18"/>
          <w:color w:val="auto"/>
        </w:rPr>
        <w:t>Unless otherwise specified, proxies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stockholder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Additional Information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Proposals for the 2022 Annual Meeting of Stockholders</w:t>
      </w:r>
    </w:p>
    <w:p>
      <w:pPr>
        <w:spacing w:after="0" w:line="11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Any stockholder proposal intended to be included in Coke Consolidated’s proxy statement and form of proxy relating to the 2022 Annual Meeting of Stockholders must be in writing and received by the Company not later than November 22, 2021. Any such stockholder proposal must also comply with Rule 14a-8 of the Exchange Act, which lists the requirements for the inclusion of stockholder proposals in company-sponsored proxy materials. Stockholder proposals should be addressed to the attention of the Company’s Secretary at Coca-Cola Consolidated, Inc., 4100 Coca-Cola Plaza, Charlotte, North Carolina 28211. Pursuant to the SEC rules, submitting a proposal will not guarantee that it will be included in the Company’s proxy materials.</w:t>
      </w:r>
    </w:p>
    <w:p>
      <w:pPr>
        <w:spacing w:after="0" w:line="7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addition, any stockholder proposal intended to be presented at the 2022 Annual Meeting of Stockholders, but that will not be included in Coke Consolidated’s proxy statement and form of proxy relating to the 2022 Annual Meeting of Stockholders, must be in writing and received by the Company’s Secretary at Coca-Cola Consolidated, Inc., 4100 Coca-Cola Plaza, Charlotte, North Carolina 28211 not later than the close of business on the 90th day nor earlier than the close of business on the 120th day prior to the first anniversary of the Annual Meeting. As a result, any proposals submitted by a stockholder pursuant to the provisions of the By-laws (other than proposals submitted pursuant to Rule 14a-8 of the Exchange Act) must be received not earlier than the close of business on January 11, 2022 and not later than the close of business on February 10, 2022. However, in the event that the date of the 2022 Annual Meeting of Stockholders is more than 30 days before or more than 60 days after May 11, 2022, notice by the stockholder to be timely must be so received not earlier than the close of business on the 120th day prior to the date of the 2022 Annual Meeting of Stockholders and not later than the close of business on the later of the 90th day prior to the date of such annual meeting or the 10th day following the day on which public announcement of the date of such meeting is first made by the Company. Stockholder proposals must include the specified information concerning the proposal and the stockholder submitting the proposal as set forth in the By-laws. A copy of the By-laws may be obtained by writing to the Company’s Secretary at Coca-Cola Consolidated, Inc., 4100 Coca-Cola Plaza, Charlotte, North Carolina 28211.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2020 Annual Report to Stockholders</w:t>
      </w:r>
    </w:p>
    <w:p>
      <w:pPr>
        <w:spacing w:after="0" w:line="11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is accompanied by the 2020 Annual Report to Stockholders, and these materials are also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the investor relations portion of the Company’s website, </w:t>
      </w:r>
      <w:r>
        <w:rPr>
          <w:rFonts w:ascii="Times New Roman" w:cs="Times New Roman" w:eastAsia="Times New Roman" w:hAnsi="Times New Roman"/>
          <w:sz w:val="18"/>
          <w:szCs w:val="18"/>
          <w:i w:val="1"/>
          <w:iCs w:val="1"/>
          <w:color w:val="auto"/>
        </w:rPr>
        <w:t>www.cokeconsolidated.com</w:t>
      </w:r>
      <w:r>
        <w:rPr>
          <w:rFonts w:ascii="Times New Roman" w:cs="Times New Roman" w:eastAsia="Times New Roman" w:hAnsi="Times New Roman"/>
          <w:sz w:val="18"/>
          <w:szCs w:val="18"/>
          <w:color w:val="auto"/>
        </w:rPr>
        <w:t>. The 2020 Annual Report to Stockholders, which contains the audited consolidated financial statements and other information about the Company, is not incorporated in this Proxy Statement and is not to be deemed a part of the proxy soliciting material.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Report on Form 10-K</w:t>
      </w:r>
    </w:p>
    <w:p>
      <w:pPr>
        <w:spacing w:after="0" w:line="112" w:lineRule="exact"/>
        <w:rPr>
          <w:sz w:val="20"/>
          <w:szCs w:val="20"/>
          <w:color w:val="auto"/>
        </w:rPr>
      </w:pPr>
    </w:p>
    <w:p>
      <w:pPr>
        <w:ind w:left="120" w:right="240"/>
        <w:spacing w:after="0" w:line="259" w:lineRule="auto"/>
        <w:rPr>
          <w:sz w:val="20"/>
          <w:szCs w:val="20"/>
          <w:color w:val="auto"/>
        </w:rPr>
      </w:pPr>
      <w:r>
        <w:rPr>
          <w:rFonts w:ascii="Times New Roman" w:cs="Times New Roman" w:eastAsia="Times New Roman" w:hAnsi="Times New Roman"/>
          <w:sz w:val="18"/>
          <w:szCs w:val="18"/>
          <w:b w:val="1"/>
          <w:bCs w:val="1"/>
          <w:color w:val="auto"/>
        </w:rPr>
        <w:t>The Company will provide without charge to each person solicited pursuant to this Proxy Statement, upon the written request of any such person, a copy of the Company’s Annual Report on Form 10-K for fiscal 2020, including the financial statements and the financial statement schedules, required to be filed with the SEC, or any exhibit thereto. Requests should be in writing and addressed to the attention of F. Scott Anthony, the Company’s Executive Vice President and Chief Financial Officer, at Coca-Cola Consolidated, Inc., P.O. Box 31487, Charlotte, North Carolina 28231.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Householding</w:t>
      </w:r>
    </w:p>
    <w:p>
      <w:pPr>
        <w:spacing w:after="0" w:line="11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SEC has adopted rules permitting companies to mail one proxy statement and annual report, or notice of internet availability of proxy materials, as applicable, in one envelope to all stockholders residing at the same address if certain conditions are met. This is called “householding” and can result in significant savings of paper and mailing costs. The Company has not implemented householding with respect to its stockholders of record; however, a number of brokerage firms have instituted householding that may impact certain beneficial owners of shares held in street name. If members of your household have multiple accounts through which they hold Coke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stock, you may have received a householding notification from the stockholder of record (e.g., your bank, broker or other nominee).</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Please contact the stockholder of record directly if you have any questions or wish to revoke your decision to household or to receive an additional copy of this Proxy Statement, the 2020 Annual Report to Stockholders or the Notice of Internet Availability for members of your household.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9" w:name="page70"/>
    <w:bookmarkEnd w:id="6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360795" cy="8229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0" w:name="page71"/>
    <w:bookmarkEnd w:id="7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360795" cy="8229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lowerRoman"/>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5"/>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Roman"/>
      <w:start w:val="3"/>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2"/>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lowerRoman"/>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2021-03-22T15:36:31Z</dcterms:created>
  <dcterms:modified xsi:type="dcterms:W3CDTF">2021-03-22T15:36:31Z</dcterms:modified>
</cp:coreProperties>
</file>