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156845</wp:posOffset>
            </wp:positionV>
            <wp:extent cx="24098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169545</wp:posOffset>
            </wp:positionV>
            <wp:extent cx="24098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w:t>
      </w:r>
    </w:p>
    <w:p>
      <w:pPr>
        <w:jc w:val="center"/>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July 20,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168910</wp:posOffset>
            </wp:positionV>
            <wp:extent cx="240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COCA-COLA BOTTLING CO. CONSOLIDATED</w:t>
      </w:r>
    </w:p>
    <w:p>
      <w:pPr>
        <w:spacing w:after="0" w:line="34" w:lineRule="exact"/>
        <w:rPr>
          <w:sz w:val="24"/>
          <w:szCs w:val="24"/>
          <w:color w:val="auto"/>
        </w:rPr>
      </w:pPr>
    </w:p>
    <w:p>
      <w:pPr>
        <w:ind w:left="3020"/>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141605</wp:posOffset>
            </wp:positionV>
            <wp:extent cx="24098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5760" w:type="dxa"/>
            <w:vAlign w:val="bottom"/>
            <w:gridSpan w:val="3"/>
          </w:tcPr>
          <w:p>
            <w:pPr>
              <w:jc w:val="center"/>
              <w:ind w:right="760"/>
              <w:spacing w:after="0"/>
              <w:rPr>
                <w:sz w:val="20"/>
                <w:szCs w:val="20"/>
                <w:color w:val="auto"/>
              </w:rPr>
            </w:pPr>
            <w:r>
              <w:rPr>
                <w:rFonts w:ascii="Arial" w:cs="Arial" w:eastAsia="Arial" w:hAnsi="Arial"/>
                <w:sz w:val="20"/>
                <w:szCs w:val="20"/>
                <w:b w:val="1"/>
                <w:bCs w:val="1"/>
                <w:color w:val="auto"/>
                <w:w w:val="91"/>
              </w:rPr>
              <w:t>Delaware</w:t>
            </w:r>
          </w:p>
        </w:tc>
        <w:tc>
          <w:tcPr>
            <w:tcW w:w="1980" w:type="dxa"/>
            <w:vAlign w:val="bottom"/>
          </w:tcPr>
          <w:p>
            <w:pPr>
              <w:jc w:val="center"/>
              <w:ind w:right="441"/>
              <w:spacing w:after="0"/>
              <w:rPr>
                <w:sz w:val="20"/>
                <w:szCs w:val="20"/>
                <w:color w:val="auto"/>
              </w:rPr>
            </w:pPr>
            <w:r>
              <w:rPr>
                <w:rFonts w:ascii="Arial" w:cs="Arial" w:eastAsia="Arial" w:hAnsi="Arial"/>
                <w:sz w:val="20"/>
                <w:szCs w:val="20"/>
                <w:b w:val="1"/>
                <w:bCs w:val="1"/>
                <w:color w:val="auto"/>
                <w:w w:val="89"/>
              </w:rPr>
              <w:t>0-9286</w:t>
            </w:r>
          </w:p>
        </w:tc>
        <w:tc>
          <w:tcPr>
            <w:tcW w:w="200" w:type="dxa"/>
            <w:vAlign w:val="bottom"/>
          </w:tcPr>
          <w:p>
            <w:pPr>
              <w:spacing w:after="0"/>
              <w:rPr>
                <w:sz w:val="21"/>
                <w:szCs w:val="21"/>
                <w:color w:val="auto"/>
              </w:rPr>
            </w:pPr>
          </w:p>
        </w:tc>
        <w:tc>
          <w:tcPr>
            <w:tcW w:w="3480" w:type="dxa"/>
            <w:vAlign w:val="bottom"/>
          </w:tcPr>
          <w:p>
            <w:pPr>
              <w:jc w:val="center"/>
              <w:spacing w:after="0"/>
              <w:rPr>
                <w:sz w:val="20"/>
                <w:szCs w:val="20"/>
                <w:color w:val="auto"/>
              </w:rPr>
            </w:pPr>
            <w:r>
              <w:rPr>
                <w:rFonts w:ascii="Arial" w:cs="Arial" w:eastAsia="Arial" w:hAnsi="Arial"/>
                <w:sz w:val="20"/>
                <w:szCs w:val="20"/>
                <w:b w:val="1"/>
                <w:bCs w:val="1"/>
                <w:color w:val="auto"/>
                <w:w w:val="89"/>
              </w:rPr>
              <w:t>56-0950585</w:t>
            </w:r>
          </w:p>
        </w:tc>
      </w:tr>
      <w:tr>
        <w:trPr>
          <w:trHeight w:val="200"/>
        </w:trPr>
        <w:tc>
          <w:tcPr>
            <w:tcW w:w="500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20"/>
                <w:szCs w:val="20"/>
                <w:b w:val="1"/>
                <w:bCs w:val="1"/>
                <w:color w:val="auto"/>
                <w:w w:val="90"/>
              </w:rPr>
              <w:t>(State or other jurisdiction</w:t>
            </w:r>
          </w:p>
        </w:tc>
        <w:tc>
          <w:tcPr>
            <w:tcW w:w="2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jc w:val="center"/>
              <w:ind w:right="441"/>
              <w:spacing w:after="0" w:line="200" w:lineRule="exact"/>
              <w:rPr>
                <w:sz w:val="20"/>
                <w:szCs w:val="20"/>
                <w:color w:val="auto"/>
              </w:rPr>
            </w:pPr>
            <w:r>
              <w:rPr>
                <w:rFonts w:ascii="Arial" w:cs="Arial" w:eastAsia="Arial" w:hAnsi="Arial"/>
                <w:sz w:val="20"/>
                <w:szCs w:val="20"/>
                <w:b w:val="1"/>
                <w:bCs w:val="1"/>
                <w:color w:val="auto"/>
                <w:w w:val="88"/>
              </w:rPr>
              <w:t>(Commission</w:t>
            </w:r>
          </w:p>
        </w:tc>
        <w:tc>
          <w:tcPr>
            <w:tcW w:w="200" w:type="dxa"/>
            <w:vAlign w:val="bottom"/>
          </w:tcPr>
          <w:p>
            <w:pPr>
              <w:spacing w:after="0"/>
              <w:rPr>
                <w:sz w:val="17"/>
                <w:szCs w:val="17"/>
                <w:color w:val="auto"/>
              </w:rPr>
            </w:pPr>
          </w:p>
        </w:tc>
        <w:tc>
          <w:tcPr>
            <w:tcW w:w="348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20"/>
                <w:szCs w:val="20"/>
                <w:b w:val="1"/>
                <w:bCs w:val="1"/>
                <w:color w:val="auto"/>
                <w:w w:val="93"/>
              </w:rPr>
              <w:t>(IRS Employer</w:t>
            </w:r>
          </w:p>
        </w:tc>
      </w:tr>
      <w:tr>
        <w:trPr>
          <w:trHeight w:val="256"/>
        </w:trPr>
        <w:tc>
          <w:tcPr>
            <w:tcW w:w="5760" w:type="dxa"/>
            <w:vAlign w:val="bottom"/>
            <w:gridSpan w:val="3"/>
          </w:tcPr>
          <w:p>
            <w:pPr>
              <w:jc w:val="center"/>
              <w:ind w:right="760"/>
              <w:spacing w:after="0"/>
              <w:rPr>
                <w:sz w:val="20"/>
                <w:szCs w:val="20"/>
                <w:color w:val="auto"/>
              </w:rPr>
            </w:pPr>
            <w:r>
              <w:rPr>
                <w:rFonts w:ascii="Arial" w:cs="Arial" w:eastAsia="Arial" w:hAnsi="Arial"/>
                <w:sz w:val="20"/>
                <w:szCs w:val="20"/>
                <w:b w:val="1"/>
                <w:bCs w:val="1"/>
                <w:color w:val="auto"/>
                <w:w w:val="89"/>
              </w:rPr>
              <w:t>of incorporation)</w:t>
            </w:r>
          </w:p>
        </w:tc>
        <w:tc>
          <w:tcPr>
            <w:tcW w:w="2180" w:type="dxa"/>
            <w:vAlign w:val="bottom"/>
            <w:gridSpan w:val="2"/>
          </w:tcPr>
          <w:p>
            <w:pPr>
              <w:jc w:val="center"/>
              <w:ind w:right="760"/>
              <w:spacing w:after="0"/>
              <w:rPr>
                <w:sz w:val="20"/>
                <w:szCs w:val="20"/>
                <w:color w:val="auto"/>
              </w:rPr>
            </w:pPr>
            <w:r>
              <w:rPr>
                <w:rFonts w:ascii="Arial" w:cs="Arial" w:eastAsia="Arial" w:hAnsi="Arial"/>
                <w:sz w:val="20"/>
                <w:szCs w:val="20"/>
                <w:b w:val="1"/>
                <w:bCs w:val="1"/>
                <w:color w:val="auto"/>
                <w:w w:val="93"/>
              </w:rPr>
              <w:t>File Number)</w:t>
            </w:r>
          </w:p>
        </w:tc>
        <w:tc>
          <w:tcPr>
            <w:tcW w:w="3480" w:type="dxa"/>
            <w:vAlign w:val="bottom"/>
          </w:tcPr>
          <w:p>
            <w:pPr>
              <w:jc w:val="center"/>
              <w:spacing w:after="0"/>
              <w:rPr>
                <w:sz w:val="20"/>
                <w:szCs w:val="20"/>
                <w:color w:val="auto"/>
              </w:rPr>
            </w:pPr>
            <w:r>
              <w:rPr>
                <w:rFonts w:ascii="Arial" w:cs="Arial" w:eastAsia="Arial" w:hAnsi="Arial"/>
                <w:sz w:val="20"/>
                <w:szCs w:val="20"/>
                <w:b w:val="1"/>
                <w:bCs w:val="1"/>
                <w:color w:val="auto"/>
                <w:w w:val="92"/>
              </w:rPr>
              <w:t>Identification No.)</w:t>
            </w:r>
          </w:p>
        </w:tc>
      </w:tr>
      <w:tr>
        <w:trPr>
          <w:trHeight w:val="419"/>
        </w:trPr>
        <w:tc>
          <w:tcPr>
            <w:tcW w:w="5760" w:type="dxa"/>
            <w:vAlign w:val="bottom"/>
            <w:gridSpan w:val="3"/>
          </w:tcPr>
          <w:p>
            <w:pPr>
              <w:jc w:val="center"/>
              <w:ind w:left="1221"/>
              <w:spacing w:after="0"/>
              <w:rPr>
                <w:sz w:val="20"/>
                <w:szCs w:val="20"/>
                <w:color w:val="auto"/>
              </w:rPr>
            </w:pPr>
            <w:r>
              <w:rPr>
                <w:rFonts w:ascii="Arial" w:cs="Arial" w:eastAsia="Arial" w:hAnsi="Arial"/>
                <w:sz w:val="20"/>
                <w:szCs w:val="20"/>
                <w:b w:val="1"/>
                <w:bCs w:val="1"/>
                <w:color w:val="auto"/>
                <w:w w:val="91"/>
              </w:rPr>
              <w:t>4100 Coca-Cola Plaza, Charlotte, North Carolina</w:t>
            </w: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80" w:type="dxa"/>
            <w:vAlign w:val="bottom"/>
          </w:tcPr>
          <w:p>
            <w:pPr>
              <w:jc w:val="right"/>
              <w:ind w:right="2061"/>
              <w:spacing w:after="0"/>
              <w:rPr>
                <w:sz w:val="20"/>
                <w:szCs w:val="20"/>
                <w:color w:val="auto"/>
              </w:rPr>
            </w:pPr>
            <w:r>
              <w:rPr>
                <w:rFonts w:ascii="Arial" w:cs="Arial" w:eastAsia="Arial" w:hAnsi="Arial"/>
                <w:sz w:val="20"/>
                <w:szCs w:val="20"/>
                <w:b w:val="1"/>
                <w:bCs w:val="1"/>
                <w:color w:val="auto"/>
              </w:rPr>
              <w:t>28211</w:t>
            </w:r>
          </w:p>
        </w:tc>
      </w:tr>
      <w:tr>
        <w:trPr>
          <w:trHeight w:val="256"/>
        </w:trPr>
        <w:tc>
          <w:tcPr>
            <w:tcW w:w="5760" w:type="dxa"/>
            <w:vAlign w:val="bottom"/>
            <w:gridSpan w:val="3"/>
          </w:tcPr>
          <w:p>
            <w:pPr>
              <w:jc w:val="center"/>
              <w:ind w:left="1241"/>
              <w:spacing w:after="0"/>
              <w:rPr>
                <w:sz w:val="20"/>
                <w:szCs w:val="20"/>
                <w:color w:val="auto"/>
              </w:rPr>
            </w:pPr>
            <w:r>
              <w:rPr>
                <w:rFonts w:ascii="Arial" w:cs="Arial" w:eastAsia="Arial" w:hAnsi="Arial"/>
                <w:sz w:val="20"/>
                <w:szCs w:val="20"/>
                <w:b w:val="1"/>
                <w:bCs w:val="1"/>
                <w:color w:val="auto"/>
                <w:w w:val="87"/>
              </w:rPr>
              <w:t>(Address of principal executive offices)</w:t>
            </w:r>
          </w:p>
        </w:tc>
        <w:tc>
          <w:tcPr>
            <w:tcW w:w="1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80" w:type="dxa"/>
            <w:vAlign w:val="bottom"/>
          </w:tcPr>
          <w:p>
            <w:pPr>
              <w:jc w:val="center"/>
              <w:ind w:right="1241"/>
              <w:spacing w:after="0"/>
              <w:rPr>
                <w:sz w:val="20"/>
                <w:szCs w:val="20"/>
                <w:color w:val="auto"/>
              </w:rPr>
            </w:pPr>
            <w:r>
              <w:rPr>
                <w:rFonts w:ascii="Arial" w:cs="Arial" w:eastAsia="Arial" w:hAnsi="Arial"/>
                <w:sz w:val="20"/>
                <w:szCs w:val="20"/>
                <w:b w:val="1"/>
                <w:bCs w:val="1"/>
                <w:color w:val="auto"/>
                <w:w w:val="90"/>
              </w:rPr>
              <w:t>(Zip Code)</w:t>
            </w:r>
          </w:p>
        </w:tc>
      </w:tr>
    </w:tbl>
    <w:p>
      <w:pPr>
        <w:spacing w:after="0" w:line="203"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(Registrant's telephone number, including area code): (704) 557-4400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160020</wp:posOffset>
            </wp:positionV>
            <wp:extent cx="24098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right="100"/>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69"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121" w:lineRule="exact"/>
        <w:rPr>
          <w:rFonts w:ascii="MS PGothic" w:cs="MS PGothic" w:eastAsia="MS PGothic" w:hAnsi="MS PGothic"/>
          <w:sz w:val="20"/>
          <w:szCs w:val="20"/>
          <w:color w:val="auto"/>
        </w:rPr>
      </w:pPr>
    </w:p>
    <w:p>
      <w:pPr>
        <w:ind w:left="520" w:hanging="512"/>
        <w:spacing w:after="0"/>
        <w:tabs>
          <w:tab w:leader="none" w:pos="5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121" w:lineRule="exact"/>
        <w:rPr>
          <w:rFonts w:ascii="MS PGothic" w:cs="MS PGothic" w:eastAsia="MS PGothic" w:hAnsi="MS PGothic"/>
          <w:sz w:val="20"/>
          <w:szCs w:val="20"/>
          <w:color w:val="auto"/>
        </w:rPr>
      </w:pPr>
    </w:p>
    <w:p>
      <w:pPr>
        <w:ind w:left="520" w:hanging="512"/>
        <w:spacing w:after="0"/>
        <w:tabs>
          <w:tab w:leader="none" w:pos="5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121" w:lineRule="exact"/>
        <w:rPr>
          <w:rFonts w:ascii="MS PGothic" w:cs="MS PGothic" w:eastAsia="MS PGothic" w:hAnsi="MS PGothic"/>
          <w:sz w:val="20"/>
          <w:szCs w:val="20"/>
          <w:color w:val="auto"/>
        </w:rPr>
      </w:pPr>
    </w:p>
    <w:p>
      <w:pPr>
        <w:ind w:left="520" w:hanging="512"/>
        <w:spacing w:after="0"/>
        <w:tabs>
          <w:tab w:leader="none" w:pos="5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351" w:lineRule="exact"/>
        <w:rPr>
          <w:sz w:val="24"/>
          <w:szCs w:val="24"/>
          <w:color w:val="auto"/>
        </w:rPr>
      </w:pPr>
    </w:p>
    <w:p>
      <w:pPr>
        <w:ind w:right="160"/>
        <w:spacing w:after="0" w:line="260"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5" w:lineRule="exact"/>
        <w:rPr>
          <w:sz w:val="24"/>
          <w:szCs w:val="24"/>
          <w:color w:val="auto"/>
        </w:rPr>
      </w:pPr>
    </w:p>
    <w:p>
      <w:pPr>
        <w:spacing w:after="0" w:line="230" w:lineRule="exact"/>
        <w:rPr>
          <w:sz w:val="20"/>
          <w:szCs w:val="20"/>
          <w:color w:val="auto"/>
        </w:rPr>
      </w:pPr>
      <w:r>
        <w:rPr>
          <w:rFonts w:ascii="Arial" w:cs="Arial" w:eastAsia="Arial" w:hAnsi="Arial"/>
          <w:sz w:val="20"/>
          <w:szCs w:val="20"/>
          <w:color w:val="auto"/>
        </w:rPr>
        <w:t>Emerging growth company</w:t>
      </w:r>
      <w:r>
        <w:rPr>
          <w:rFonts w:ascii="MS PGothic" w:cs="MS PGothic" w:eastAsia="MS PGothic" w:hAnsi="MS PGothic"/>
          <w:sz w:val="20"/>
          <w:szCs w:val="20"/>
          <w:color w:val="auto"/>
        </w:rPr>
        <w:t>☐</w:t>
      </w:r>
    </w:p>
    <w:p>
      <w:pPr>
        <w:spacing w:after="0" w:line="145" w:lineRule="exact"/>
        <w:rPr>
          <w:sz w:val="24"/>
          <w:szCs w:val="24"/>
          <w:color w:val="auto"/>
        </w:rPr>
      </w:pPr>
    </w:p>
    <w:p>
      <w:pPr>
        <w:ind w:right="360"/>
        <w:spacing w:after="0" w:line="258"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459740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1" w:name="page2"/>
    <w:bookmarkEnd w:id="1"/>
    <w:p>
      <w:pPr>
        <w:spacing w:after="0"/>
        <w:tabs>
          <w:tab w:leader="none" w:pos="1500" w:val="left"/>
        </w:tabs>
        <w:rPr>
          <w:sz w:val="20"/>
          <w:szCs w:val="20"/>
          <w:color w:val="auto"/>
        </w:rPr>
      </w:pPr>
      <w:r>
        <w:rPr>
          <w:rFonts w:ascii="Arial" w:cs="Arial" w:eastAsia="Arial" w:hAnsi="Arial"/>
          <w:sz w:val="20"/>
          <w:szCs w:val="20"/>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36" w:lineRule="exact"/>
        <w:rPr>
          <w:sz w:val="20"/>
          <w:szCs w:val="20"/>
          <w:color w:val="auto"/>
        </w:rPr>
      </w:pPr>
    </w:p>
    <w:p>
      <w:pPr>
        <w:ind w:right="140"/>
        <w:spacing w:after="0" w:line="232" w:lineRule="exact"/>
        <w:rPr>
          <w:sz w:val="20"/>
          <w:szCs w:val="20"/>
          <w:color w:val="auto"/>
        </w:rPr>
      </w:pPr>
      <w:r>
        <w:rPr>
          <w:rFonts w:ascii="Arial" w:cs="Arial" w:eastAsia="Arial" w:hAnsi="Arial"/>
          <w:sz w:val="18"/>
          <w:szCs w:val="18"/>
          <w:color w:val="auto"/>
        </w:rPr>
        <w:t>On July 20, 2018, Coca</w:t>
      </w:r>
      <w:r>
        <w:rPr>
          <w:rFonts w:ascii="MS PGothic" w:cs="MS PGothic" w:eastAsia="MS PGothic" w:hAnsi="MS PGothic"/>
          <w:sz w:val="18"/>
          <w:szCs w:val="18"/>
          <w:color w:val="auto"/>
        </w:rPr>
        <w:t>‑</w:t>
      </w:r>
      <w:r>
        <w:rPr>
          <w:rFonts w:ascii="Arial" w:cs="Arial" w:eastAsia="Arial" w:hAnsi="Arial"/>
          <w:sz w:val="18"/>
          <w:szCs w:val="18"/>
          <w:color w:val="auto"/>
        </w:rPr>
        <w:t>Cola Bottling Co. Consolidated (the “Company”) entered into (i) an amendment (the “Prudential Amendment”) to the note purchase and private shelf agreement, dated June 10, 2016, by and between the Company, PGIM, Inc. (“Prudential”) and certain of its affiliates (as amended, the “Prudential Agreement”) and (ii) an amendment (the “NYL Amendment”) to the note purchase and private shelf agreement, dated March 6, 2018, by and between the Company, NYL Investors LLC (“NYL”) and certain of its affiliates (the “NYL Agreement” and together with the Prudential Agreement, the “Agreements”). The Prudential Amendment and the NYL Amendment (together, the “Amendments”) are substantively similar and were entered into by the Company primarily to align certain terms of the Agreements with the Company’s Second Amended and Restated Credit Agreement, dated June 8, 2018 (as amended, the “Credit Agreement”), specifically (i) adjustments to certain of the financial covenants the Company is required to maintain, and (ii) modifications to certain events of default.</w:t>
      </w:r>
    </w:p>
    <w:p>
      <w:pPr>
        <w:spacing w:after="0" w:line="210" w:lineRule="exact"/>
        <w:rPr>
          <w:sz w:val="20"/>
          <w:szCs w:val="20"/>
          <w:color w:val="auto"/>
        </w:rPr>
      </w:pPr>
    </w:p>
    <w:p>
      <w:pPr>
        <w:ind w:right="120"/>
        <w:spacing w:after="0" w:line="313" w:lineRule="auto"/>
        <w:rPr>
          <w:sz w:val="20"/>
          <w:szCs w:val="20"/>
          <w:color w:val="auto"/>
        </w:rPr>
      </w:pPr>
      <w:r>
        <w:rPr>
          <w:rFonts w:ascii="Arial" w:cs="Arial" w:eastAsia="Arial" w:hAnsi="Arial"/>
          <w:sz w:val="16"/>
          <w:szCs w:val="16"/>
          <w:color w:val="auto"/>
        </w:rPr>
        <w:t>Pursuant to the Amendments, the calculation of the two financial covenants the Company is required to maintain under each of the Agreements, a “consolidated cash flow/fixed charges ratio” and a “consolidated funded indebtedness/cash flow ratio” (each as defined in the Agreements), was revised to conform with similar financial covenants in the Credit Agreement. The Amendments also modified certain events of default to align with those in the Credit Agreement, including the occurrence of unsatisfied judgments of the Company or its subsidiaries in excess of $100 million (as increased, pursuant to the Amendments, from $50 million), individually or in the aggregate, outstanding for 30 days or more which are not being appealed or contested in good faith. In addition, the Amendments revised certain negative covenants within the Agreements to reduce the existing limitations on the ability of the Company and its subsidiaries to dispose of assets outside of the ordinary course of business.</w:t>
      </w:r>
    </w:p>
    <w:p>
      <w:pPr>
        <w:spacing w:after="0" w:line="157" w:lineRule="exact"/>
        <w:rPr>
          <w:sz w:val="20"/>
          <w:szCs w:val="20"/>
          <w:color w:val="auto"/>
        </w:rPr>
      </w:pPr>
    </w:p>
    <w:p>
      <w:pPr>
        <w:ind w:right="100"/>
        <w:spacing w:after="0" w:line="240" w:lineRule="exact"/>
        <w:rPr>
          <w:sz w:val="20"/>
          <w:szCs w:val="20"/>
          <w:color w:val="auto"/>
        </w:rPr>
      </w:pPr>
      <w:r>
        <w:rPr>
          <w:rFonts w:ascii="Arial" w:cs="Arial" w:eastAsia="Arial" w:hAnsi="Arial"/>
          <w:sz w:val="18"/>
          <w:szCs w:val="18"/>
          <w:color w:val="auto"/>
        </w:rPr>
        <w:t>The foregoing descriptions of the Amendments are qualified in their entirety by reference to the full text of such agreements and all exhibits thereto, copies of which are filed as Exhibit 10.1 and Exhibit 10.2 to this Current Report on Form 8</w:t>
      </w:r>
      <w:r>
        <w:rPr>
          <w:rFonts w:ascii="MS PGothic" w:cs="MS PGothic" w:eastAsia="MS PGothic" w:hAnsi="MS PGothic"/>
          <w:sz w:val="14"/>
          <w:szCs w:val="14"/>
          <w:color w:val="auto"/>
        </w:rPr>
        <w:t>‑</w:t>
      </w:r>
      <w:r>
        <w:rPr>
          <w:rFonts w:ascii="Arial" w:cs="Arial" w:eastAsia="Arial" w:hAnsi="Arial"/>
          <w:sz w:val="18"/>
          <w:szCs w:val="18"/>
          <w:color w:val="auto"/>
        </w:rPr>
        <w:t>K and incorporated herein by reference.</w:t>
      </w:r>
    </w:p>
    <w:p>
      <w:pPr>
        <w:spacing w:after="0" w:line="203" w:lineRule="exact"/>
        <w:rPr>
          <w:sz w:val="20"/>
          <w:szCs w:val="20"/>
          <w:color w:val="auto"/>
        </w:rPr>
      </w:pPr>
    </w:p>
    <w:p>
      <w:pPr>
        <w:spacing w:after="0"/>
        <w:tabs>
          <w:tab w:leader="none" w:pos="1500" w:val="left"/>
        </w:tabs>
        <w:rPr>
          <w:sz w:val="20"/>
          <w:szCs w:val="20"/>
          <w:color w:val="auto"/>
        </w:rPr>
      </w:pPr>
      <w:r>
        <w:rPr>
          <w:rFonts w:ascii="Arial" w:cs="Arial" w:eastAsia="Arial" w:hAnsi="Arial"/>
          <w:sz w:val="20"/>
          <w:szCs w:val="20"/>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disclosure required by this Item and included in Item 1.01 is incorporated by reference.</w:t>
      </w:r>
    </w:p>
    <w:p>
      <w:pPr>
        <w:spacing w:after="0" w:line="223" w:lineRule="exact"/>
        <w:rPr>
          <w:sz w:val="20"/>
          <w:szCs w:val="20"/>
          <w:color w:val="auto"/>
        </w:rPr>
      </w:pPr>
    </w:p>
    <w:p>
      <w:pPr>
        <w:spacing w:after="0"/>
        <w:tabs>
          <w:tab w:leader="none" w:pos="14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60" w:type="dxa"/>
            <w:vAlign w:val="bottom"/>
          </w:tcPr>
          <w:p>
            <w:pPr>
              <w:jc w:val="right"/>
              <w:ind w:right="281"/>
              <w:spacing w:after="0"/>
              <w:rPr>
                <w:sz w:val="20"/>
                <w:szCs w:val="20"/>
                <w:color w:val="auto"/>
              </w:rPr>
            </w:pPr>
            <w:r>
              <w:rPr>
                <w:rFonts w:ascii="Arial" w:cs="Arial" w:eastAsia="Arial" w:hAnsi="Arial"/>
                <w:sz w:val="20"/>
                <w:szCs w:val="20"/>
                <w:b w:val="1"/>
                <w:bCs w:val="1"/>
                <w:color w:val="auto"/>
              </w:rPr>
              <w:t>Incorporated By</w:t>
            </w:r>
          </w:p>
        </w:tc>
        <w:tc>
          <w:tcPr>
            <w:tcW w:w="120" w:type="dxa"/>
            <w:vAlign w:val="bottom"/>
          </w:tcPr>
          <w:p>
            <w:pPr>
              <w:spacing w:after="0"/>
              <w:rPr>
                <w:sz w:val="19"/>
                <w:szCs w:val="19"/>
                <w:color w:val="auto"/>
              </w:rPr>
            </w:pPr>
          </w:p>
        </w:tc>
      </w:tr>
      <w:tr>
        <w:trPr>
          <w:trHeight w:val="252"/>
        </w:trPr>
        <w:tc>
          <w:tcPr>
            <w:tcW w:w="20" w:type="dxa"/>
            <w:vAlign w:val="bottom"/>
          </w:tcPr>
          <w:p>
            <w:pPr>
              <w:spacing w:after="0"/>
              <w:rPr>
                <w:sz w:val="21"/>
                <w:szCs w:val="21"/>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b w:val="1"/>
                <w:bCs w:val="1"/>
                <w:color w:val="auto"/>
              </w:rPr>
              <w:t>Exhibit No.</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360" w:type="dxa"/>
            <w:vAlign w:val="bottom"/>
            <w:tcBorders>
              <w:bottom w:val="single" w:sz="8" w:color="auto"/>
            </w:tcBorders>
            <w:gridSpan w:val="4"/>
          </w:tcPr>
          <w:p>
            <w:pPr>
              <w:ind w:left="3180"/>
              <w:spacing w:after="0"/>
              <w:rPr>
                <w:sz w:val="20"/>
                <w:szCs w:val="20"/>
                <w:color w:val="auto"/>
              </w:rPr>
            </w:pPr>
            <w:r>
              <w:rPr>
                <w:rFonts w:ascii="Arial" w:cs="Arial" w:eastAsia="Arial" w:hAnsi="Arial"/>
                <w:sz w:val="20"/>
                <w:szCs w:val="20"/>
                <w:b w:val="1"/>
                <w:bCs w:val="1"/>
                <w:color w:val="auto"/>
              </w:rPr>
              <w:t>Description</w:t>
            </w:r>
          </w:p>
        </w:tc>
        <w:tc>
          <w:tcPr>
            <w:tcW w:w="260" w:type="dxa"/>
            <w:vAlign w:val="bottom"/>
          </w:tcPr>
          <w:p>
            <w:pPr>
              <w:spacing w:after="0"/>
              <w:rPr>
                <w:sz w:val="21"/>
                <w:szCs w:val="21"/>
                <w:color w:val="auto"/>
              </w:rPr>
            </w:pPr>
          </w:p>
        </w:tc>
        <w:tc>
          <w:tcPr>
            <w:tcW w:w="21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Reference To</w:t>
            </w:r>
          </w:p>
        </w:tc>
        <w:tc>
          <w:tcPr>
            <w:tcW w:w="120" w:type="dxa"/>
            <w:vAlign w:val="bottom"/>
          </w:tcPr>
          <w:p>
            <w:pPr>
              <w:spacing w:after="0"/>
              <w:rPr>
                <w:sz w:val="21"/>
                <w:szCs w:val="21"/>
                <w:color w:val="auto"/>
              </w:rPr>
            </w:pPr>
          </w:p>
        </w:tc>
      </w:tr>
      <w:tr>
        <w:trPr>
          <w:trHeight w:val="183"/>
        </w:trPr>
        <w:tc>
          <w:tcPr>
            <w:tcW w:w="20" w:type="dxa"/>
            <w:vAlign w:val="bottom"/>
          </w:tcPr>
          <w:p>
            <w:pPr>
              <w:spacing w:after="0"/>
              <w:rPr>
                <w:sz w:val="15"/>
                <w:szCs w:val="15"/>
                <w:color w:val="auto"/>
              </w:rPr>
            </w:pPr>
          </w:p>
        </w:tc>
        <w:tc>
          <w:tcPr>
            <w:tcW w:w="1240" w:type="dxa"/>
            <w:vAlign w:val="bottom"/>
          </w:tcPr>
          <w:p>
            <w:pPr>
              <w:jc w:val="right"/>
              <w:ind w:right="801"/>
              <w:spacing w:after="0" w:line="183" w:lineRule="exact"/>
              <w:rPr>
                <w:sz w:val="20"/>
                <w:szCs w:val="20"/>
                <w:color w:val="auto"/>
              </w:rPr>
            </w:pPr>
            <w:r>
              <w:rPr>
                <w:rFonts w:ascii="Arial" w:cs="Arial" w:eastAsia="Arial" w:hAnsi="Arial"/>
                <w:sz w:val="20"/>
                <w:szCs w:val="20"/>
                <w:color w:val="auto"/>
                <w:w w:val="82"/>
              </w:rPr>
              <w:t>10.1</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360" w:type="dxa"/>
            <w:vAlign w:val="bottom"/>
            <w:gridSpan w:val="4"/>
          </w:tcPr>
          <w:p>
            <w:pPr>
              <w:spacing w:after="0" w:line="183" w:lineRule="exact"/>
              <w:rPr>
                <w:rFonts w:ascii="Arial" w:cs="Arial" w:eastAsia="Arial" w:hAnsi="Arial"/>
                <w:sz w:val="20"/>
                <w:szCs w:val="20"/>
                <w:color w:val="0000EE"/>
                <w:w w:val="92"/>
              </w:rPr>
            </w:pPr>
            <w:hyperlink w:anchor="page4">
              <w:r>
                <w:rPr>
                  <w:rFonts w:ascii="Arial" w:cs="Arial" w:eastAsia="Arial" w:hAnsi="Arial"/>
                  <w:sz w:val="20"/>
                  <w:szCs w:val="20"/>
                  <w:color w:val="0000EE"/>
                  <w:w w:val="92"/>
                </w:rPr>
                <w:t>First Amendment to Note Purchase and Private Shelf Agreement, dated July 20, 2018, by</w:t>
              </w:r>
            </w:hyperlink>
          </w:p>
        </w:tc>
        <w:tc>
          <w:tcPr>
            <w:tcW w:w="260" w:type="dxa"/>
            <w:vAlign w:val="bottom"/>
          </w:tcPr>
          <w:p>
            <w:pPr>
              <w:spacing w:after="0"/>
              <w:rPr>
                <w:sz w:val="15"/>
                <w:szCs w:val="15"/>
                <w:color w:val="auto"/>
              </w:rPr>
            </w:pPr>
          </w:p>
        </w:tc>
        <w:tc>
          <w:tcPr>
            <w:tcW w:w="2160" w:type="dxa"/>
            <w:vAlign w:val="bottom"/>
          </w:tcPr>
          <w:p>
            <w:pPr>
              <w:jc w:val="right"/>
              <w:ind w:right="881"/>
              <w:spacing w:after="0" w:line="183" w:lineRule="exact"/>
              <w:rPr>
                <w:sz w:val="20"/>
                <w:szCs w:val="20"/>
                <w:color w:val="auto"/>
              </w:rPr>
            </w:pPr>
            <w:r>
              <w:rPr>
                <w:rFonts w:ascii="Arial" w:cs="Arial" w:eastAsia="Arial" w:hAnsi="Arial"/>
                <w:sz w:val="20"/>
                <w:szCs w:val="20"/>
                <w:color w:val="auto"/>
                <w:w w:val="89"/>
              </w:rPr>
              <w:t>Filed herewith.</w:t>
            </w:r>
          </w:p>
        </w:tc>
        <w:tc>
          <w:tcPr>
            <w:tcW w:w="1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80" w:type="dxa"/>
            <w:vAlign w:val="bottom"/>
            <w:tcBorders>
              <w:top w:val="single" w:sz="8" w:color="0000EE"/>
              <w:bottom w:val="single" w:sz="8" w:color="0000EE"/>
            </w:tcBorders>
            <w:gridSpan w:val="2"/>
          </w:tcPr>
          <w:p>
            <w:pPr>
              <w:spacing w:after="0" w:line="209" w:lineRule="exact"/>
              <w:rPr>
                <w:rFonts w:ascii="Arial" w:cs="Arial" w:eastAsia="Arial" w:hAnsi="Arial"/>
                <w:sz w:val="20"/>
                <w:szCs w:val="20"/>
                <w:color w:val="0000EE"/>
                <w:w w:val="88"/>
              </w:rPr>
            </w:pPr>
            <w:hyperlink w:anchor="page4">
              <w:r>
                <w:rPr>
                  <w:rFonts w:ascii="Arial" w:cs="Arial" w:eastAsia="Arial" w:hAnsi="Arial"/>
                  <w:sz w:val="20"/>
                  <w:szCs w:val="20"/>
                  <w:color w:val="0000EE"/>
                  <w:w w:val="88"/>
                </w:rPr>
                <w:t>and among the Company, PGIM, Inc. and the other parties thereto.</w:t>
              </w:r>
            </w:hyperlink>
          </w:p>
        </w:tc>
        <w:tc>
          <w:tcPr>
            <w:tcW w:w="1800" w:type="dxa"/>
            <w:vAlign w:val="bottom"/>
            <w:tcBorders>
              <w:top w:val="single" w:sz="8" w:color="0000EE"/>
            </w:tcBorders>
            <w:gridSpan w:val="2"/>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1260" w:type="dxa"/>
            <w:vAlign w:val="bottom"/>
            <w:gridSpan w:val="2"/>
          </w:tcPr>
          <w:p>
            <w:pPr>
              <w:jc w:val="right"/>
              <w:ind w:right="801"/>
              <w:spacing w:after="0" w:line="209" w:lineRule="exact"/>
              <w:rPr>
                <w:sz w:val="20"/>
                <w:szCs w:val="20"/>
                <w:color w:val="auto"/>
              </w:rPr>
            </w:pPr>
            <w:r>
              <w:rPr>
                <w:rFonts w:ascii="Arial" w:cs="Arial" w:eastAsia="Arial" w:hAnsi="Arial"/>
                <w:sz w:val="20"/>
                <w:szCs w:val="20"/>
                <w:color w:val="auto"/>
                <w:w w:val="87"/>
              </w:rPr>
              <w:t>10.2</w:t>
            </w:r>
          </w:p>
        </w:tc>
        <w:tc>
          <w:tcPr>
            <w:tcW w:w="260" w:type="dxa"/>
            <w:vAlign w:val="bottom"/>
          </w:tcPr>
          <w:p>
            <w:pPr>
              <w:spacing w:after="0"/>
              <w:rPr>
                <w:sz w:val="18"/>
                <w:szCs w:val="18"/>
                <w:color w:val="auto"/>
              </w:rPr>
            </w:pPr>
          </w:p>
        </w:tc>
        <w:tc>
          <w:tcPr>
            <w:tcW w:w="7380" w:type="dxa"/>
            <w:vAlign w:val="bottom"/>
            <w:gridSpan w:val="5"/>
          </w:tcPr>
          <w:p>
            <w:pPr>
              <w:spacing w:after="0" w:line="209" w:lineRule="exact"/>
              <w:rPr>
                <w:rFonts w:ascii="Arial" w:cs="Arial" w:eastAsia="Arial" w:hAnsi="Arial"/>
                <w:sz w:val="20"/>
                <w:szCs w:val="20"/>
                <w:color w:val="0000EE"/>
                <w:w w:val="92"/>
              </w:rPr>
            </w:pPr>
            <w:hyperlink w:anchor="page16">
              <w:r>
                <w:rPr>
                  <w:rFonts w:ascii="Arial" w:cs="Arial" w:eastAsia="Arial" w:hAnsi="Arial"/>
                  <w:sz w:val="20"/>
                  <w:szCs w:val="20"/>
                  <w:color w:val="0000EE"/>
                  <w:w w:val="92"/>
                </w:rPr>
                <w:t>First Amendment to Note Purchase and Private Shelf Agreement, dated July 20, 2018, by</w:t>
              </w:r>
            </w:hyperlink>
          </w:p>
        </w:tc>
        <w:tc>
          <w:tcPr>
            <w:tcW w:w="2420" w:type="dxa"/>
            <w:vAlign w:val="bottom"/>
            <w:gridSpan w:val="2"/>
          </w:tcPr>
          <w:p>
            <w:pPr>
              <w:jc w:val="right"/>
              <w:ind w:right="881"/>
              <w:spacing w:after="0" w:line="209" w:lineRule="exact"/>
              <w:rPr>
                <w:sz w:val="20"/>
                <w:szCs w:val="20"/>
                <w:color w:val="auto"/>
              </w:rPr>
            </w:pPr>
            <w:r>
              <w:rPr>
                <w:rFonts w:ascii="Arial" w:cs="Arial" w:eastAsia="Arial" w:hAnsi="Arial"/>
                <w:sz w:val="20"/>
                <w:szCs w:val="20"/>
                <w:color w:val="auto"/>
              </w:rPr>
              <w:t>Filed herewith.</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80" w:type="dxa"/>
            <w:vAlign w:val="bottom"/>
            <w:tcBorders>
              <w:top w:val="single" w:sz="8" w:color="0000EE"/>
            </w:tcBorders>
            <w:gridSpan w:val="4"/>
          </w:tcPr>
          <w:p>
            <w:pPr>
              <w:spacing w:after="0" w:line="209" w:lineRule="exact"/>
              <w:rPr>
                <w:rFonts w:ascii="Arial" w:cs="Arial" w:eastAsia="Arial" w:hAnsi="Arial"/>
                <w:sz w:val="20"/>
                <w:szCs w:val="20"/>
                <w:color w:val="0000EE"/>
              </w:rPr>
            </w:pPr>
            <w:hyperlink w:anchor="page16">
              <w:r>
                <w:rPr>
                  <w:rFonts w:ascii="Arial" w:cs="Arial" w:eastAsia="Arial" w:hAnsi="Arial"/>
                  <w:sz w:val="20"/>
                  <w:szCs w:val="20"/>
                  <w:color w:val="0000EE"/>
                </w:rPr>
                <w:t>and among the Company, NYL Investors LLC and the other parties thereto.</w:t>
              </w:r>
            </w:hyperlink>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784"/>
        </w:trPr>
        <w:tc>
          <w:tcPr>
            <w:tcW w:w="20" w:type="dxa"/>
            <w:vAlign w:val="bottom"/>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60" w:type="dxa"/>
            <w:vAlign w:val="bottom"/>
            <w:tcBorders>
              <w:top w:val="single" w:sz="8" w:color="0000EE"/>
              <w:bottom w:val="single" w:sz="8" w:color="9A9A9A"/>
            </w:tcBorders>
          </w:tcPr>
          <w:p>
            <w:pPr>
              <w:spacing w:after="0"/>
              <w:rPr>
                <w:sz w:val="24"/>
                <w:szCs w:val="24"/>
                <w:color w:val="auto"/>
              </w:rPr>
            </w:pPr>
          </w:p>
        </w:tc>
        <w:tc>
          <w:tcPr>
            <w:tcW w:w="700" w:type="dxa"/>
            <w:vAlign w:val="bottom"/>
            <w:tcBorders>
              <w:top w:val="single" w:sz="8" w:color="0000EE"/>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0"/>
          <w:szCs w:val="20"/>
          <w:b w:val="1"/>
          <w:bCs w:val="1"/>
          <w:color w:val="auto"/>
        </w:rPr>
        <w:t>SIGNATURE</w:t>
      </w:r>
    </w:p>
    <w:p>
      <w:pPr>
        <w:spacing w:after="0" w:line="236"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5800" w:type="dxa"/>
            <w:vAlign w:val="bottom"/>
          </w:tcPr>
          <w:p>
            <w:pPr>
              <w:ind w:left="360"/>
              <w:spacing w:after="0"/>
              <w:rPr>
                <w:sz w:val="20"/>
                <w:szCs w:val="20"/>
                <w:color w:val="auto"/>
              </w:rPr>
            </w:pPr>
            <w:r>
              <w:rPr>
                <w:rFonts w:ascii="Arial" w:cs="Arial" w:eastAsia="Arial" w:hAnsi="Arial"/>
                <w:sz w:val="20"/>
                <w:szCs w:val="20"/>
                <w:b w:val="1"/>
                <w:bCs w:val="1"/>
                <w:color w:val="auto"/>
              </w:rPr>
              <w:t>COCA-COLA BOTTLING CO. CONSOLIDATED</w:t>
            </w:r>
          </w:p>
        </w:tc>
      </w:tr>
      <w:tr>
        <w:trPr>
          <w:trHeight w:val="698"/>
        </w:trPr>
        <w:tc>
          <w:tcPr>
            <w:tcW w:w="3180" w:type="dxa"/>
            <w:vAlign w:val="bottom"/>
          </w:tcPr>
          <w:p>
            <w:pPr>
              <w:spacing w:after="0"/>
              <w:rPr>
                <w:sz w:val="20"/>
                <w:szCs w:val="20"/>
                <w:color w:val="auto"/>
              </w:rPr>
            </w:pPr>
            <w:r>
              <w:rPr>
                <w:rFonts w:ascii="Arial" w:cs="Arial" w:eastAsia="Arial" w:hAnsi="Arial"/>
                <w:sz w:val="20"/>
                <w:szCs w:val="20"/>
                <w:color w:val="auto"/>
              </w:rPr>
              <w:t>Date: July 25, 2018</w:t>
            </w:r>
          </w:p>
        </w:tc>
        <w:tc>
          <w:tcPr>
            <w:tcW w:w="2340" w:type="dxa"/>
            <w:vAlign w:val="bottom"/>
          </w:tcPr>
          <w:p>
            <w:pPr>
              <w:ind w:left="1620"/>
              <w:spacing w:after="0"/>
              <w:rPr>
                <w:sz w:val="20"/>
                <w:szCs w:val="20"/>
                <w:color w:val="auto"/>
              </w:rPr>
            </w:pPr>
            <w:r>
              <w:rPr>
                <w:rFonts w:ascii="Arial" w:cs="Arial" w:eastAsia="Arial" w:hAnsi="Arial"/>
                <w:sz w:val="20"/>
                <w:szCs w:val="20"/>
                <w:color w:val="auto"/>
              </w:rPr>
              <w:t>By:</w:t>
            </w:r>
          </w:p>
        </w:tc>
        <w:tc>
          <w:tcPr>
            <w:tcW w:w="58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David M. Katz</w:t>
            </w:r>
          </w:p>
        </w:tc>
      </w:tr>
      <w:tr>
        <w:trPr>
          <w:trHeight w:val="206"/>
        </w:trPr>
        <w:tc>
          <w:tcPr>
            <w:tcW w:w="31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800" w:type="dxa"/>
            <w:vAlign w:val="bottom"/>
          </w:tcPr>
          <w:p>
            <w:pPr>
              <w:spacing w:after="0" w:line="207" w:lineRule="exact"/>
              <w:rPr>
                <w:sz w:val="20"/>
                <w:szCs w:val="20"/>
                <w:color w:val="auto"/>
              </w:rPr>
            </w:pPr>
            <w:r>
              <w:rPr>
                <w:rFonts w:ascii="Arial" w:cs="Arial" w:eastAsia="Arial" w:hAnsi="Arial"/>
                <w:sz w:val="20"/>
                <w:szCs w:val="20"/>
                <w:color w:val="auto"/>
              </w:rPr>
              <w:t>David M. Katz</w:t>
            </w:r>
          </w:p>
        </w:tc>
      </w:tr>
      <w:tr>
        <w:trPr>
          <w:trHeight w:val="250"/>
        </w:trPr>
        <w:tc>
          <w:tcPr>
            <w:tcW w:w="31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5800" w:type="dxa"/>
            <w:vAlign w:val="bottom"/>
          </w:tcPr>
          <w:p>
            <w:pPr>
              <w:spacing w:after="0"/>
              <w:rPr>
                <w:sz w:val="20"/>
                <w:szCs w:val="20"/>
                <w:color w:val="auto"/>
              </w:rPr>
            </w:pPr>
            <w:r>
              <w:rPr>
                <w:rFonts w:ascii="Arial" w:cs="Arial" w:eastAsia="Arial" w:hAnsi="Arial"/>
                <w:sz w:val="20"/>
                <w:szCs w:val="20"/>
                <w:color w:val="auto"/>
              </w:rPr>
              <w:t>Executive Vice President and Chief Financial Officer</w:t>
            </w:r>
          </w:p>
        </w:tc>
      </w:tr>
    </w:tbl>
    <w:p>
      <w:pPr>
        <w:sectPr>
          <w:pgSz w:w="11900" w:h="16838" w:orient="portrait"/>
          <w:cols w:equalWidth="0" w:num="1">
            <w:col w:w="11320"/>
          </w:cols>
          <w:pgMar w:left="240" w:top="11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 AMENDMENT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NOTE PURCHASE AND PRIVATE SHELF AGREEMENT</w:t>
      </w:r>
    </w:p>
    <w:p>
      <w:pPr>
        <w:spacing w:after="0" w:line="182"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THIS FIRST AMENDMENT TO NOTE PURCHASE AND PRIVATE SHELF AGREEMENT </w:t>
      </w:r>
      <w:r>
        <w:rPr>
          <w:rFonts w:ascii="Arial" w:cs="Arial" w:eastAsia="Arial" w:hAnsi="Arial"/>
          <w:sz w:val="22"/>
          <w:szCs w:val="22"/>
          <w:color w:val="auto"/>
        </w:rPr>
        <w:t>(this</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Amendment</w:t>
      </w:r>
      <w:r>
        <w:rPr>
          <w:rFonts w:ascii="Arial" w:cs="Arial" w:eastAsia="Arial" w:hAnsi="Arial"/>
          <w:sz w:val="22"/>
          <w:szCs w:val="22"/>
          <w:color w:val="auto"/>
        </w:rPr>
        <w:t xml:space="preserve">”), is made and entered into as of July 20, 2018, by and among </w:t>
      </w:r>
      <w:r>
        <w:rPr>
          <w:rFonts w:ascii="Arial" w:cs="Arial" w:eastAsia="Arial" w:hAnsi="Arial"/>
          <w:sz w:val="22"/>
          <w:szCs w:val="22"/>
          <w:b w:val="1"/>
          <w:bCs w:val="1"/>
          <w:color w:val="auto"/>
        </w:rPr>
        <w:t>COCA-COLA BOTTLING CO.</w:t>
      </w:r>
      <w:r>
        <w:rPr>
          <w:rFonts w:ascii="Arial" w:cs="Arial" w:eastAsia="Arial" w:hAnsi="Arial"/>
          <w:sz w:val="22"/>
          <w:szCs w:val="22"/>
          <w:color w:val="auto"/>
        </w:rPr>
        <w:t xml:space="preserve"> </w:t>
      </w:r>
      <w:r>
        <w:rPr>
          <w:rFonts w:ascii="Arial" w:cs="Arial" w:eastAsia="Arial" w:hAnsi="Arial"/>
          <w:sz w:val="22"/>
          <w:szCs w:val="22"/>
          <w:b w:val="1"/>
          <w:bCs w:val="1"/>
          <w:color w:val="auto"/>
        </w:rPr>
        <w:t>CONSOLIDATED</w:t>
      </w:r>
      <w:r>
        <w:rPr>
          <w:rFonts w:ascii="Arial" w:cs="Arial" w:eastAsia="Arial" w:hAnsi="Arial"/>
          <w:sz w:val="22"/>
          <w:szCs w:val="22"/>
          <w:color w:val="auto"/>
        </w:rPr>
        <w:t>,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PGIM, Inc., The Prudential Insurance Company of America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other holders of Notes (as defined in the Note Agreement defined below) that are signatories hereto (together with their successors and assigns, the “</w:t>
      </w:r>
      <w:r>
        <w:rPr>
          <w:rFonts w:ascii="Arial" w:cs="Arial" w:eastAsia="Arial" w:hAnsi="Arial"/>
          <w:sz w:val="22"/>
          <w:szCs w:val="22"/>
          <w:b w:val="1"/>
          <w:bCs w:val="1"/>
          <w:i w:val="1"/>
          <w:iCs w:val="1"/>
          <w:color w:val="auto"/>
        </w:rPr>
        <w:t>Noteholders</w:t>
      </w:r>
      <w:r>
        <w:rPr>
          <w:rFonts w:ascii="Arial" w:cs="Arial" w:eastAsia="Arial" w:hAnsi="Arial"/>
          <w:sz w:val="22"/>
          <w:szCs w:val="22"/>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 I T N E S S E T H</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877"/>
        <w:spacing w:after="0" w:line="252" w:lineRule="auto"/>
        <w:rPr>
          <w:sz w:val="20"/>
          <w:szCs w:val="20"/>
          <w:color w:val="auto"/>
        </w:rPr>
      </w:pPr>
      <w:r>
        <w:rPr>
          <w:rFonts w:ascii="Arial" w:cs="Arial" w:eastAsia="Arial" w:hAnsi="Arial"/>
          <w:sz w:val="21"/>
          <w:szCs w:val="21"/>
          <w:color w:val="auto"/>
        </w:rPr>
        <w:t>WHEREAS, the Company and the Noteholders are parties to a certain Note Purchase and Private Shelf Agreement, dated as of June 10, 2016 (as amended, restated, supplemented or otherwise modified from time to time, the “</w:t>
      </w:r>
      <w:r>
        <w:rPr>
          <w:rFonts w:ascii="Arial" w:cs="Arial" w:eastAsia="Arial" w:hAnsi="Arial"/>
          <w:sz w:val="21"/>
          <w:szCs w:val="21"/>
          <w:b w:val="1"/>
          <w:bCs w:val="1"/>
          <w:i w:val="1"/>
          <w:iCs w:val="1"/>
          <w:color w:val="auto"/>
        </w:rPr>
        <w:t>Note Agreement</w:t>
      </w:r>
      <w:r>
        <w:rPr>
          <w:rFonts w:ascii="Arial" w:cs="Arial" w:eastAsia="Arial" w:hAnsi="Arial"/>
          <w:sz w:val="21"/>
          <w:szCs w:val="21"/>
          <w:color w:val="auto"/>
        </w:rPr>
        <w:t>”; capitalized terms used herein and not otherwise defined shall have the meanings assigned to such terms in the Note Agreement), pursuant to which the Noteholders have purchased Notes from the Company;</w:t>
      </w:r>
    </w:p>
    <w:p>
      <w:pPr>
        <w:spacing w:after="0" w:line="174"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WHEREAS, the Company has requested that the Noteholders amend certain provisions of the Note Agreement, and subject to the terms and conditions hereof, the Noteholders are willing to do so;</w:t>
      </w:r>
    </w:p>
    <w:p>
      <w:pPr>
        <w:spacing w:after="0" w:line="173"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NOW, THEREFORE, for good and valuable consideration, the sufficiency and receipt of all of which are acknowledged, the Company and the Noteholders agree as follows:</w:t>
      </w:r>
    </w:p>
    <w:p>
      <w:pPr>
        <w:spacing w:after="0" w:line="167" w:lineRule="exact"/>
        <w:rPr>
          <w:sz w:val="20"/>
          <w:szCs w:val="20"/>
          <w:color w:val="auto"/>
        </w:rPr>
      </w:pPr>
    </w:p>
    <w:p>
      <w:pPr>
        <w:ind w:left="1700" w:hanging="815"/>
        <w:spacing w:after="0"/>
        <w:tabs>
          <w:tab w:leader="none" w:pos="1700" w:val="left"/>
        </w:tabs>
        <w:numPr>
          <w:ilvl w:val="0"/>
          <w:numId w:val="2"/>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w:t>
      </w:r>
      <w:r>
        <w:rPr>
          <w:rFonts w:ascii="Arial" w:cs="Arial" w:eastAsia="Arial" w:hAnsi="Arial"/>
          <w:sz w:val="22"/>
          <w:szCs w:val="22"/>
          <w:color w:val="auto"/>
        </w:rPr>
        <w:t>.</w:t>
      </w:r>
    </w:p>
    <w:p>
      <w:pPr>
        <w:spacing w:after="0" w:line="212" w:lineRule="exact"/>
        <w:rPr>
          <w:sz w:val="20"/>
          <w:szCs w:val="20"/>
          <w:color w:val="auto"/>
        </w:rPr>
      </w:pPr>
    </w:p>
    <w:p>
      <w:pPr>
        <w:ind w:left="1780" w:hanging="895"/>
        <w:spacing w:after="0"/>
        <w:tabs>
          <w:tab w:leader="none" w:pos="1780" w:val="left"/>
        </w:tabs>
        <w:numPr>
          <w:ilvl w:val="0"/>
          <w:numId w:val="3"/>
        </w:numPr>
        <w:rPr>
          <w:rFonts w:ascii="Arial" w:cs="Arial" w:eastAsia="Arial" w:hAnsi="Arial"/>
          <w:sz w:val="19"/>
          <w:szCs w:val="19"/>
          <w:color w:val="auto"/>
        </w:rPr>
      </w:pPr>
      <w:r>
        <w:rPr>
          <w:rFonts w:ascii="Arial" w:cs="Arial" w:eastAsia="Arial" w:hAnsi="Arial"/>
          <w:sz w:val="19"/>
          <w:szCs w:val="19"/>
          <w:color w:val="auto"/>
        </w:rPr>
        <w:t>Paragraph 5E of the Note Agreement is hereby amended by replacing such Paragraph in its entirety with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following:</w:t>
      </w:r>
    </w:p>
    <w:p>
      <w:pPr>
        <w:spacing w:after="0" w:line="182" w:lineRule="exact"/>
        <w:rPr>
          <w:sz w:val="20"/>
          <w:szCs w:val="20"/>
          <w:color w:val="auto"/>
        </w:rPr>
      </w:pPr>
    </w:p>
    <w:p>
      <w:pPr>
        <w:jc w:val="both"/>
        <w:ind w:left="880" w:right="880" w:firstLine="743"/>
        <w:spacing w:after="0" w:line="237" w:lineRule="auto"/>
        <w:rPr>
          <w:sz w:val="20"/>
          <w:szCs w:val="20"/>
          <w:color w:val="auto"/>
        </w:rPr>
      </w:pPr>
      <w:r>
        <w:rPr>
          <w:rFonts w:ascii="Arial" w:cs="Arial" w:eastAsia="Arial" w:hAnsi="Arial"/>
          <w:sz w:val="22"/>
          <w:szCs w:val="22"/>
          <w:color w:val="auto"/>
        </w:rPr>
        <w:t xml:space="preserve">5E. </w:t>
      </w:r>
      <w:r>
        <w:rPr>
          <w:rFonts w:ascii="Arial" w:cs="Arial" w:eastAsia="Arial" w:hAnsi="Arial"/>
          <w:sz w:val="22"/>
          <w:szCs w:val="22"/>
          <w:b w:val="1"/>
          <w:bCs w:val="1"/>
          <w:color w:val="auto"/>
        </w:rPr>
        <w:t>Taxes</w:t>
      </w:r>
      <w:r>
        <w:rPr>
          <w:rFonts w:ascii="Arial" w:cs="Arial" w:eastAsia="Arial" w:hAnsi="Arial"/>
          <w:sz w:val="22"/>
          <w:szCs w:val="22"/>
          <w:color w:val="auto"/>
        </w:rPr>
        <w:t>. The Company will, and will cause each Subsidiary to, pay when due all taxes, duties, imposts, deductions, assessments, fees and governmental charges, withholdings and levies upon it or its income, profits or Property, except those which are being contested in good faith by appropriate proceedings and with respect to which adequate reserves have been set aside and except where such failure would not reasonably be expected to have a Material Adverse Effect.</w:t>
      </w:r>
    </w:p>
    <w:p>
      <w:pPr>
        <w:spacing w:after="0" w:line="189" w:lineRule="exact"/>
        <w:rPr>
          <w:sz w:val="20"/>
          <w:szCs w:val="20"/>
          <w:color w:val="auto"/>
        </w:rPr>
      </w:pPr>
    </w:p>
    <w:p>
      <w:pPr>
        <w:ind w:left="1780" w:hanging="895"/>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Paragraph 5K of the Note Agreement is hereby amended by replacing such Paragraph in its entirety with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following:</w:t>
      </w:r>
    </w:p>
    <w:p>
      <w:pPr>
        <w:spacing w:after="0" w:line="182" w:lineRule="exact"/>
        <w:rPr>
          <w:sz w:val="20"/>
          <w:szCs w:val="20"/>
          <w:color w:val="auto"/>
        </w:rPr>
      </w:pPr>
    </w:p>
    <w:p>
      <w:pPr>
        <w:jc w:val="both"/>
        <w:ind w:left="880" w:right="880" w:firstLine="743"/>
        <w:spacing w:after="0" w:line="243" w:lineRule="auto"/>
        <w:rPr>
          <w:sz w:val="20"/>
          <w:szCs w:val="20"/>
          <w:color w:val="auto"/>
        </w:rPr>
      </w:pPr>
      <w:r>
        <w:rPr>
          <w:rFonts w:ascii="Arial" w:cs="Arial" w:eastAsia="Arial" w:hAnsi="Arial"/>
          <w:sz w:val="22"/>
          <w:szCs w:val="22"/>
          <w:color w:val="auto"/>
        </w:rPr>
        <w:t xml:space="preserve">5K. </w:t>
      </w:r>
      <w:r>
        <w:rPr>
          <w:rFonts w:ascii="Arial" w:cs="Arial" w:eastAsia="Arial" w:hAnsi="Arial"/>
          <w:sz w:val="22"/>
          <w:szCs w:val="22"/>
          <w:b w:val="1"/>
          <w:bCs w:val="1"/>
          <w:color w:val="auto"/>
        </w:rPr>
        <w:t>Payment of Claims.</w:t>
      </w:r>
      <w:r>
        <w:rPr>
          <w:rFonts w:ascii="Arial" w:cs="Arial" w:eastAsia="Arial" w:hAnsi="Arial"/>
          <w:sz w:val="22"/>
          <w:szCs w:val="22"/>
          <w:color w:val="auto"/>
        </w:rPr>
        <w:t xml:space="preserve"> The Company will, and will cause each Subsidiary to, pay or discharge any of the following claims and liabilities which are material to the Company and its Subsidiaries when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ind w:right="880" w:firstLine="1491"/>
        <w:spacing w:after="0" w:line="241" w:lineRule="auto"/>
        <w:tabs>
          <w:tab w:leader="none" w:pos="1839" w:val="left"/>
        </w:tabs>
        <w:numPr>
          <w:ilvl w:val="0"/>
          <w:numId w:val="5"/>
        </w:numPr>
        <w:rPr>
          <w:rFonts w:ascii="Arial" w:cs="Arial" w:eastAsia="Arial" w:hAnsi="Arial"/>
          <w:sz w:val="22"/>
          <w:szCs w:val="22"/>
          <w:color w:val="auto"/>
        </w:rPr>
      </w:pPr>
      <w:r>
        <w:rPr>
          <w:rFonts w:ascii="Arial" w:cs="Arial" w:eastAsia="Arial" w:hAnsi="Arial"/>
          <w:sz w:val="22"/>
          <w:szCs w:val="22"/>
          <w:color w:val="auto"/>
        </w:rPr>
        <w:t>on or prior to the date when due, all lawful claims of materialmen, mechanics, carriers, warehousemen, landlords and other like Persons which, if unpaid, might result in the creation of a Lien upon any such Property; and</w:t>
      </w:r>
    </w:p>
    <w:p>
      <w:pPr>
        <w:spacing w:after="0" w:line="183" w:lineRule="exact"/>
        <w:rPr>
          <w:rFonts w:ascii="Arial" w:cs="Arial" w:eastAsia="Arial" w:hAnsi="Arial"/>
          <w:sz w:val="22"/>
          <w:szCs w:val="22"/>
          <w:color w:val="auto"/>
        </w:rPr>
      </w:pPr>
    </w:p>
    <w:p>
      <w:pPr>
        <w:jc w:val="both"/>
        <w:ind w:right="880" w:firstLine="1491"/>
        <w:spacing w:after="0" w:line="282" w:lineRule="auto"/>
        <w:tabs>
          <w:tab w:leader="none" w:pos="1873" w:val="left"/>
        </w:tabs>
        <w:numPr>
          <w:ilvl w:val="0"/>
          <w:numId w:val="5"/>
        </w:numPr>
        <w:rPr>
          <w:rFonts w:ascii="Arial" w:cs="Arial" w:eastAsia="Arial" w:hAnsi="Arial"/>
          <w:sz w:val="19"/>
          <w:szCs w:val="19"/>
          <w:color w:val="auto"/>
        </w:rPr>
      </w:pPr>
      <w:r>
        <w:rPr>
          <w:rFonts w:ascii="Arial" w:cs="Arial" w:eastAsia="Arial" w:hAnsi="Arial"/>
          <w:sz w:val="19"/>
          <w:szCs w:val="19"/>
          <w:color w:val="auto"/>
        </w:rPr>
        <w:t>on or prior to the date when due, all other lawful claims which, if unpaid, might result in the creation of a Lien upon any such Property (other than Liens not forbidden by paragraph 6B hereof) or which, if unpaid, might give rise to a claim entitled to priority over general creditors of the Company or such Subsidiary in a case under Title 11 (Bankruptcy) of the United States Code, as amended, or in any insolvency proceeding or dissolution or winding-up involving the Company or such Subsidiary;</w:t>
      </w:r>
    </w:p>
    <w:p>
      <w:pPr>
        <w:spacing w:after="0" w:line="148" w:lineRule="exact"/>
        <w:rPr>
          <w:sz w:val="20"/>
          <w:szCs w:val="20"/>
          <w:color w:val="auto"/>
        </w:rPr>
      </w:pPr>
    </w:p>
    <w:p>
      <w:pPr>
        <w:jc w:val="both"/>
        <w:ind w:right="880" w:firstLine="743"/>
        <w:spacing w:after="0" w:line="28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that unless and until foreclosure, distraint, levy, sale or similar proceedings shall have been commenced, the Company or such Subsidiary need not pay or discharge any such claim or current liability so long as the validity thereof is contested in good faith and by appropriate proceedings diligently conducted and so long as such reserves or other appropriate provisions as may be required by GAAP shall have been made therefor and so long as such failure to pay or discharge does not have a Material Adverse Effect.</w:t>
      </w:r>
    </w:p>
    <w:p>
      <w:pPr>
        <w:spacing w:after="0" w:line="148" w:lineRule="exact"/>
        <w:rPr>
          <w:sz w:val="20"/>
          <w:szCs w:val="20"/>
          <w:color w:val="auto"/>
        </w:rPr>
      </w:pPr>
    </w:p>
    <w:p>
      <w:pPr>
        <w:ind w:left="-880" w:firstLine="885"/>
        <w:spacing w:after="0" w:line="251" w:lineRule="auto"/>
        <w:tabs>
          <w:tab w:leader="none" w:pos="885" w:val="left"/>
        </w:tabs>
        <w:numPr>
          <w:ilvl w:val="0"/>
          <w:numId w:val="6"/>
        </w:numPr>
        <w:rPr>
          <w:rFonts w:ascii="Arial" w:cs="Arial" w:eastAsia="Arial" w:hAnsi="Arial"/>
          <w:sz w:val="22"/>
          <w:szCs w:val="22"/>
          <w:color w:val="auto"/>
        </w:rPr>
      </w:pPr>
      <w:r>
        <w:rPr>
          <w:rFonts w:ascii="Arial" w:cs="Arial" w:eastAsia="Arial" w:hAnsi="Arial"/>
          <w:sz w:val="22"/>
          <w:szCs w:val="22"/>
          <w:color w:val="auto"/>
        </w:rPr>
        <w:t>Paragraph 6C of the Note Agreement is hereby amended by replacing clauses (iii) and (vi) thereof in their entirety with the following:</w:t>
      </w:r>
    </w:p>
    <w:p>
      <w:pPr>
        <w:spacing w:after="0" w:line="173" w:lineRule="exact"/>
        <w:rPr>
          <w:sz w:val="20"/>
          <w:szCs w:val="20"/>
          <w:color w:val="auto"/>
        </w:rPr>
      </w:pPr>
    </w:p>
    <w:p>
      <w:pPr>
        <w:jc w:val="both"/>
        <w:ind w:right="900" w:firstLine="748"/>
        <w:spacing w:after="0" w:line="297" w:lineRule="auto"/>
        <w:tabs>
          <w:tab w:leader="none" w:pos="1715" w:val="left"/>
        </w:tabs>
        <w:numPr>
          <w:ilvl w:val="0"/>
          <w:numId w:val="7"/>
        </w:numPr>
        <w:rPr>
          <w:rFonts w:ascii="Arial" w:cs="Arial" w:eastAsia="Arial" w:hAnsi="Arial"/>
          <w:sz w:val="19"/>
          <w:szCs w:val="19"/>
          <w:color w:val="auto"/>
        </w:rPr>
      </w:pPr>
      <w:r>
        <w:rPr>
          <w:rFonts w:ascii="Arial" w:cs="Arial" w:eastAsia="Arial" w:hAnsi="Arial"/>
          <w:sz w:val="19"/>
          <w:szCs w:val="19"/>
          <w:color w:val="auto"/>
        </w:rPr>
        <w:t>any sale of real property not used in the current operations of the Company, provided that the aggregate proceeds of sales pursuant to this clause (iii) shall not exceed (1) $100,000,000 in any fiscal year of the Company or (2) $500,000,000 from July 20, 2018 through and including the date of such sale;</w:t>
      </w:r>
    </w:p>
    <w:p>
      <w:pPr>
        <w:spacing w:after="0" w:line="134" w:lineRule="exact"/>
        <w:rPr>
          <w:sz w:val="20"/>
          <w:szCs w:val="20"/>
          <w:color w:val="auto"/>
        </w:rPr>
      </w:pPr>
    </w:p>
    <w:p>
      <w:pPr>
        <w:ind w:left="1700" w:hanging="952"/>
        <w:spacing w:after="0"/>
        <w:tabs>
          <w:tab w:leader="none" w:pos="1700" w:val="left"/>
        </w:tabs>
        <w:numPr>
          <w:ilvl w:val="1"/>
          <w:numId w:val="8"/>
        </w:numPr>
        <w:rPr>
          <w:rFonts w:ascii="Arial" w:cs="Arial" w:eastAsia="Arial" w:hAnsi="Arial"/>
          <w:sz w:val="22"/>
          <w:szCs w:val="22"/>
          <w:color w:val="auto"/>
        </w:rPr>
      </w:pPr>
      <w:r>
        <w:rPr>
          <w:rFonts w:ascii="Arial" w:cs="Arial" w:eastAsia="Arial" w:hAnsi="Arial"/>
          <w:sz w:val="22"/>
          <w:szCs w:val="22"/>
          <w:color w:val="auto"/>
        </w:rPr>
        <w:t>the sale for cash of any and all accounts receivable in a face amount not to exceed</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$100,000,000;</w:t>
      </w:r>
    </w:p>
    <w:p>
      <w:pPr>
        <w:spacing w:after="0" w:line="188" w:lineRule="exact"/>
        <w:rPr>
          <w:rFonts w:ascii="Arial" w:cs="Arial" w:eastAsia="Arial" w:hAnsi="Arial"/>
          <w:sz w:val="22"/>
          <w:szCs w:val="22"/>
          <w:color w:val="auto"/>
        </w:rPr>
      </w:pPr>
    </w:p>
    <w:p>
      <w:pPr>
        <w:ind w:left="-880" w:firstLine="885"/>
        <w:spacing w:after="0" w:line="251" w:lineRule="auto"/>
        <w:tabs>
          <w:tab w:leader="none" w:pos="1046" w:val="left"/>
        </w:tabs>
        <w:numPr>
          <w:ilvl w:val="0"/>
          <w:numId w:val="9"/>
        </w:numPr>
        <w:rPr>
          <w:rFonts w:ascii="Arial" w:cs="Arial" w:eastAsia="Arial" w:hAnsi="Arial"/>
          <w:sz w:val="22"/>
          <w:szCs w:val="22"/>
          <w:color w:val="auto"/>
        </w:rPr>
      </w:pPr>
      <w:r>
        <w:rPr>
          <w:rFonts w:ascii="Arial" w:cs="Arial" w:eastAsia="Arial" w:hAnsi="Arial"/>
          <w:sz w:val="22"/>
          <w:szCs w:val="22"/>
          <w:color w:val="auto"/>
        </w:rPr>
        <w:t>Paragraph 7A of the Note Agreement is hereby amended by replacing clauses (v) and (x) thereof in their entirety with the following:</w:t>
      </w:r>
    </w:p>
    <w:p>
      <w:pPr>
        <w:spacing w:after="0" w:line="173" w:lineRule="exact"/>
        <w:rPr>
          <w:rFonts w:ascii="Arial" w:cs="Arial" w:eastAsia="Arial" w:hAnsi="Arial"/>
          <w:sz w:val="22"/>
          <w:szCs w:val="22"/>
          <w:color w:val="auto"/>
        </w:rPr>
      </w:pPr>
    </w:p>
    <w:p>
      <w:pPr>
        <w:jc w:val="both"/>
        <w:ind w:right="880" w:firstLine="748"/>
        <w:spacing w:after="0" w:line="245" w:lineRule="auto"/>
        <w:tabs>
          <w:tab w:leader="none" w:pos="1134" w:val="left"/>
        </w:tabs>
        <w:numPr>
          <w:ilvl w:val="1"/>
          <w:numId w:val="9"/>
        </w:numPr>
        <w:rPr>
          <w:rFonts w:ascii="Arial" w:cs="Arial" w:eastAsia="Arial" w:hAnsi="Arial"/>
          <w:sz w:val="21"/>
          <w:szCs w:val="21"/>
          <w:color w:val="auto"/>
        </w:rPr>
      </w:pPr>
      <w:r>
        <w:rPr>
          <w:rFonts w:ascii="Arial" w:cs="Arial" w:eastAsia="Arial" w:hAnsi="Arial"/>
          <w:sz w:val="21"/>
          <w:szCs w:val="21"/>
          <w:color w:val="auto"/>
        </w:rPr>
        <w:t>the Company or any of its Subsidiaries shall fail to pay any principal of or interest on any other Indebtedness which is outstanding in an aggregate principal amount of at least $100,000,000, or its equivalent in other currencies (in this clause (v) called “Material Indebtedness”), in the aggregate when the same becomes due and payable (whether at scheduled maturity, by required prepayment, acceleration, demand or otherwise); or any other event shall occur or condition shall exist under any agreement or instrument relating to any Material Indebtedness and shall continue after the applicable grace period, if any, specified in such agreement or instrument, if the effect of such event or condition is to accelerate, or to permit the acceleration of, the maturity of such Material Indebtedness, or to require the same to be prepaid or defeased (other than by a regularly required payment);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118745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118" w:right="239" w:bottom="1440" w:gutter="0" w:footer="0" w:header="0"/>
        </w:sectPr>
      </w:pPr>
    </w:p>
    <w:bookmarkStart w:id="5" w:name="page6"/>
    <w:bookmarkEnd w:id="5"/>
    <w:p>
      <w:pPr>
        <w:jc w:val="both"/>
        <w:ind w:left="880" w:right="880" w:firstLine="748"/>
        <w:spacing w:after="0" w:line="298" w:lineRule="auto"/>
        <w:tabs>
          <w:tab w:leader="none" w:pos="1998" w:val="left"/>
        </w:tabs>
        <w:numPr>
          <w:ilvl w:val="1"/>
          <w:numId w:val="10"/>
        </w:numPr>
        <w:rPr>
          <w:rFonts w:ascii="Arial" w:cs="Arial" w:eastAsia="Arial" w:hAnsi="Arial"/>
          <w:sz w:val="19"/>
          <w:szCs w:val="19"/>
          <w:color w:val="auto"/>
        </w:rPr>
      </w:pPr>
      <w:r>
        <w:rPr>
          <w:rFonts w:ascii="Arial" w:cs="Arial" w:eastAsia="Arial" w:hAnsi="Arial"/>
          <w:sz w:val="19"/>
          <w:szCs w:val="19"/>
          <w:color w:val="auto"/>
        </w:rPr>
        <w:t>the Company or any of its Subsidiaries shall fail within thirty (30) days to pay, bond or otherwise discharge any judgment or order for the payment of money, either singly or in the aggregate, in excess of $100,000,000, which is not stayed on appeal or otherwise being appropriately contested in good faith;</w:t>
      </w:r>
    </w:p>
    <w:p>
      <w:pPr>
        <w:spacing w:after="0" w:line="132" w:lineRule="exact"/>
        <w:rPr>
          <w:rFonts w:ascii="Arial" w:cs="Arial" w:eastAsia="Arial" w:hAnsi="Arial"/>
          <w:sz w:val="19"/>
          <w:szCs w:val="19"/>
          <w:color w:val="auto"/>
        </w:rPr>
      </w:pPr>
    </w:p>
    <w:p>
      <w:pPr>
        <w:jc w:val="both"/>
        <w:ind w:firstLine="885"/>
        <w:spacing w:after="0"/>
        <w:tabs>
          <w:tab w:leader="none" w:pos="1873" w:val="left"/>
        </w:tabs>
        <w:numPr>
          <w:ilvl w:val="0"/>
          <w:numId w:val="11"/>
        </w:numPr>
        <w:rPr>
          <w:rFonts w:ascii="Arial" w:cs="Arial" w:eastAsia="Arial" w:hAnsi="Arial"/>
          <w:sz w:val="22"/>
          <w:szCs w:val="22"/>
          <w:color w:val="auto"/>
        </w:rPr>
      </w:pPr>
      <w:r>
        <w:rPr>
          <w:rFonts w:ascii="Arial" w:cs="Arial" w:eastAsia="Arial" w:hAnsi="Arial"/>
          <w:sz w:val="22"/>
          <w:szCs w:val="22"/>
          <w:color w:val="auto"/>
        </w:rPr>
        <w:t>Paragraph 10B of the Note Agreement is hereby amended by replacing the definitions of “Consolidated Cash Flow”, “Consolidated Funded Indebtedness/Cash Flow Ratio”, “Responsible Officer” and “S&amp;P” in their entirety with the following definitions:</w:t>
      </w:r>
    </w:p>
    <w:p>
      <w:pPr>
        <w:spacing w:after="0" w:line="180" w:lineRule="exact"/>
        <w:rPr>
          <w:sz w:val="20"/>
          <w:szCs w:val="20"/>
          <w:color w:val="auto"/>
        </w:rPr>
      </w:pPr>
    </w:p>
    <w:p>
      <w:pPr>
        <w:jc w:val="both"/>
        <w:ind w:left="880" w:right="880" w:firstLine="743"/>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Cash Flow</w:t>
      </w:r>
      <w:r>
        <w:rPr>
          <w:rFonts w:ascii="Arial" w:cs="Arial" w:eastAsia="Arial" w:hAnsi="Arial"/>
          <w:sz w:val="19"/>
          <w:szCs w:val="19"/>
          <w:color w:val="auto"/>
        </w:rPr>
        <w:t>” means, for any period, Consolidated Operating Income for such period plus (i) any amounts deducted for depreciation, amortization and operating lease expense, plus (ii) any impairment charges or asset write-down or write off related to intangible assets, long-lived assets and property, plant and equipment, solely to the extent that any such charges, write-down or write off described in this clause</w:t>
      </w:r>
    </w:p>
    <w:p>
      <w:pPr>
        <w:spacing w:after="0" w:line="2" w:lineRule="exact"/>
        <w:rPr>
          <w:sz w:val="20"/>
          <w:szCs w:val="20"/>
          <w:color w:val="auto"/>
        </w:rPr>
      </w:pPr>
    </w:p>
    <w:p>
      <w:pPr>
        <w:jc w:val="both"/>
        <w:ind w:left="880" w:right="880" w:firstLine="5"/>
        <w:spacing w:after="0" w:line="275" w:lineRule="auto"/>
        <w:tabs>
          <w:tab w:leader="none" w:pos="1223" w:val="left"/>
        </w:tabs>
        <w:numPr>
          <w:ilvl w:val="0"/>
          <w:numId w:val="12"/>
        </w:numPr>
        <w:rPr>
          <w:rFonts w:ascii="Arial" w:cs="Arial" w:eastAsia="Arial" w:hAnsi="Arial"/>
          <w:sz w:val="19"/>
          <w:szCs w:val="19"/>
          <w:color w:val="auto"/>
        </w:rPr>
      </w:pPr>
      <w:r>
        <w:rPr>
          <w:rFonts w:ascii="Arial" w:cs="Arial" w:eastAsia="Arial" w:hAnsi="Arial"/>
          <w:sz w:val="19"/>
          <w:szCs w:val="19"/>
          <w:color w:val="auto"/>
        </w:rPr>
        <w:t>are non-cash items, in each case in determining Consolidated Operating Income, plus (iii) any non-cash pension charges related to benefit plan amendments or non-recurring or infrequent transactions, plus (iv) non-cash expenses related to stock based compensation, minus (v) the amount of the sub-bottling fee payments made to The Coca-Cola Company or one of its Subsidiaries in consideration for exclusive distribution rights to the Company or one of its Consolidated Subsidiaries during such applicable period. Consolidated Cash Flow shall exclude all non-cash credits or charges resulting from commodity hedging transactions.</w:t>
      </w:r>
    </w:p>
    <w:p>
      <w:pPr>
        <w:spacing w:after="0" w:line="149" w:lineRule="exact"/>
        <w:rPr>
          <w:sz w:val="20"/>
          <w:szCs w:val="20"/>
          <w:color w:val="auto"/>
        </w:rPr>
      </w:pPr>
    </w:p>
    <w:p>
      <w:pPr>
        <w:jc w:val="both"/>
        <w:ind w:left="880" w:right="880" w:firstLine="743"/>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Funded Indebtedness/Cash Flow Ratio</w:t>
      </w:r>
      <w:r>
        <w:rPr>
          <w:rFonts w:ascii="Arial" w:cs="Arial" w:eastAsia="Arial" w:hAnsi="Arial"/>
          <w:sz w:val="22"/>
          <w:szCs w:val="22"/>
          <w:color w:val="auto"/>
        </w:rPr>
        <w:t>” means, at any time, the ratio of (a) the aggregate amount of (i) Consolidated Funded Indebtedness minus the Liquidity Amount and (ii) without duplication of amounts included in clause (i), 50% of every Contingent Obligation of the Company and its Consolidated Subsidiaries (other than any Contingent Obligation in respect of any operating lease), determined and consolidated in accordance with GAAP to (b) the aggregate of (i) Consolidated Cash Flow for the then most recently concluded period of four consecutive fiscal quarters of the Company and (ii) Acquisition Cash Flow for such period.</w:t>
      </w:r>
    </w:p>
    <w:p>
      <w:pPr>
        <w:spacing w:after="0" w:line="184" w:lineRule="exact"/>
        <w:rPr>
          <w:sz w:val="20"/>
          <w:szCs w:val="20"/>
          <w:color w:val="auto"/>
        </w:rPr>
      </w:pPr>
    </w:p>
    <w:p>
      <w:pPr>
        <w:jc w:val="both"/>
        <w:ind w:left="880" w:right="880" w:firstLine="743"/>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Responsible Officer</w:t>
      </w:r>
      <w:r>
        <w:rPr>
          <w:rFonts w:ascii="Arial" w:cs="Arial" w:eastAsia="Arial" w:hAnsi="Arial"/>
          <w:sz w:val="22"/>
          <w:szCs w:val="22"/>
          <w:color w:val="auto"/>
        </w:rPr>
        <w:t>” means the Chairman of the Board and Chief Executive Officer, the President and Chief Operating Officer, the Executive Vice President and Chief Financial Officer, the Senior Vice President and Chief Accounting Officer or the Executive Vice President, General Counsel and Secretary of the Company.</w:t>
      </w:r>
    </w:p>
    <w:p>
      <w:pPr>
        <w:spacing w:after="0" w:line="181" w:lineRule="exact"/>
        <w:rPr>
          <w:sz w:val="20"/>
          <w:szCs w:val="20"/>
          <w:color w:val="auto"/>
        </w:rPr>
      </w:pPr>
    </w:p>
    <w:p>
      <w:pPr>
        <w:jc w:val="both"/>
        <w:ind w:left="880" w:right="880" w:firstLine="743"/>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S&amp;P</w:t>
      </w:r>
      <w:r>
        <w:rPr>
          <w:rFonts w:ascii="Arial" w:cs="Arial" w:eastAsia="Arial" w:hAnsi="Arial"/>
          <w:sz w:val="22"/>
          <w:szCs w:val="22"/>
          <w:color w:val="auto"/>
        </w:rPr>
        <w:t>” means Standard &amp; Poor’s Financial Services LLC, a subsidiary of The McGraw-Hill Companies, Inc., and any successor thereto.</w:t>
      </w:r>
    </w:p>
    <w:p>
      <w:pPr>
        <w:spacing w:after="0" w:line="169" w:lineRule="exact"/>
        <w:rPr>
          <w:sz w:val="20"/>
          <w:szCs w:val="20"/>
          <w:color w:val="auto"/>
        </w:rPr>
      </w:pPr>
    </w:p>
    <w:p>
      <w:pPr>
        <w:ind w:left="1800" w:hanging="915"/>
        <w:spacing w:after="0"/>
        <w:tabs>
          <w:tab w:leader="none" w:pos="18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Paragraph 10B of the Note Agreement is hereby further amended by adding the following definition in correct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alphabetical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jc w:val="both"/>
        <w:ind w:left="880" w:right="880" w:firstLine="743"/>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Liquidity Amount</w:t>
      </w:r>
      <w:r>
        <w:rPr>
          <w:rFonts w:ascii="Arial" w:cs="Arial" w:eastAsia="Arial" w:hAnsi="Arial"/>
          <w:sz w:val="22"/>
          <w:szCs w:val="22"/>
          <w:color w:val="auto"/>
        </w:rPr>
        <w:t>” means, as at any date of determination, the lesser of (i) the aggregate amount of unrestricted and unencumbered cash maintained by the Company and its Subsidiaries in the United States as of such date and (ii) $20,000,000.</w:t>
      </w:r>
    </w:p>
    <w:p>
      <w:pPr>
        <w:spacing w:after="0" w:line="184" w:lineRule="exact"/>
        <w:rPr>
          <w:sz w:val="20"/>
          <w:szCs w:val="20"/>
          <w:color w:val="auto"/>
        </w:rPr>
      </w:pPr>
    </w:p>
    <w:p>
      <w:pPr>
        <w:ind w:left="1780" w:hanging="895"/>
        <w:spacing w:after="0"/>
        <w:tabs>
          <w:tab w:leader="none" w:pos="1780" w:val="left"/>
        </w:tabs>
        <w:numPr>
          <w:ilvl w:val="0"/>
          <w:numId w:val="14"/>
        </w:numPr>
        <w:rPr>
          <w:rFonts w:ascii="Arial" w:cs="Arial" w:eastAsia="Arial" w:hAnsi="Arial"/>
          <w:sz w:val="19"/>
          <w:szCs w:val="19"/>
          <w:color w:val="auto"/>
        </w:rPr>
      </w:pPr>
      <w:r>
        <w:rPr>
          <w:rFonts w:ascii="Arial" w:cs="Arial" w:eastAsia="Arial" w:hAnsi="Arial"/>
          <w:sz w:val="19"/>
          <w:szCs w:val="19"/>
          <w:color w:val="auto"/>
        </w:rPr>
        <w:t>Paragraph 10C of the Note Agreement is hereby amended by replacing such Paragraph in its entirety with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following:</w:t>
      </w:r>
    </w:p>
    <w:p>
      <w:pPr>
        <w:spacing w:after="0" w:line="182" w:lineRule="exact"/>
        <w:rPr>
          <w:sz w:val="20"/>
          <w:szCs w:val="20"/>
          <w:color w:val="auto"/>
        </w:rPr>
      </w:pPr>
    </w:p>
    <w:p>
      <w:pPr>
        <w:jc w:val="both"/>
        <w:ind w:left="880" w:right="880" w:firstLine="743"/>
        <w:spacing w:after="0" w:line="270" w:lineRule="auto"/>
        <w:rPr>
          <w:sz w:val="20"/>
          <w:szCs w:val="20"/>
          <w:color w:val="auto"/>
        </w:rPr>
      </w:pPr>
      <w:r>
        <w:rPr>
          <w:rFonts w:ascii="Arial" w:cs="Arial" w:eastAsia="Arial" w:hAnsi="Arial"/>
          <w:sz w:val="19"/>
          <w:szCs w:val="19"/>
          <w:color w:val="auto"/>
        </w:rPr>
        <w:t xml:space="preserve">10C. </w:t>
      </w:r>
      <w:r>
        <w:rPr>
          <w:rFonts w:ascii="Arial" w:cs="Arial" w:eastAsia="Arial" w:hAnsi="Arial"/>
          <w:sz w:val="19"/>
          <w:szCs w:val="19"/>
          <w:b w:val="1"/>
          <w:bCs w:val="1"/>
          <w:color w:val="auto"/>
        </w:rPr>
        <w:t>Accounting Principles, Terms and Determinations</w:t>
      </w:r>
      <w:r>
        <w:rPr>
          <w:rFonts w:ascii="Arial" w:cs="Arial" w:eastAsia="Arial" w:hAnsi="Arial"/>
          <w:sz w:val="19"/>
          <w:szCs w:val="19"/>
          <w:color w:val="auto"/>
        </w:rPr>
        <w:t>. All accounting terms not specifically defined herein shall be construed in accordance with GAAP consistent with those applied in the preparation of the financial statements referred to in paragraph 8C.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the Company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If at any time any change in GAAP would affect the computation of any financial ratio or requirement set forth herein, and the Company so requests, the holders of the Notes and the Company will negotiate in good faith to amend such ratio or requirement to preserve the original intent thereof in light of such change in GAAP; provided that until so amended, such ratio or requirement shall continue to be computed in accordance with GAAP as in effect prior to such change therein. Without limiting the foregoing, for purposes of determining compliance with any financial covenant ratio, requirement or basket, leases shall continue to be classified and accounted for on a basis consistent with that reflected in the financial statements referred to in paragraph 8C for all purposes of this Agreement, notwithstanding any change in GAAP relating thereto (for the avoidance of doubt, including ASC Topic 842), unless the parties hereto shall enter into a mutually acceptable amendment addressing such changes, as provided for above.</w:t>
      </w:r>
    </w:p>
    <w:p>
      <w:pPr>
        <w:spacing w:after="0" w:line="200" w:lineRule="exact"/>
        <w:rPr>
          <w:sz w:val="20"/>
          <w:szCs w:val="20"/>
          <w:color w:val="auto"/>
        </w:rPr>
      </w:pPr>
    </w:p>
    <w:p>
      <w:pPr>
        <w:spacing w:after="0" w:line="208" w:lineRule="exact"/>
        <w:rPr>
          <w:sz w:val="20"/>
          <w:szCs w:val="20"/>
          <w:color w:val="auto"/>
        </w:rPr>
      </w:pPr>
    </w:p>
    <w:p>
      <w:pPr>
        <w:ind w:firstLine="885"/>
        <w:spacing w:after="0" w:line="251" w:lineRule="auto"/>
        <w:tabs>
          <w:tab w:leader="none" w:pos="1778" w:val="left"/>
        </w:tabs>
        <w:numPr>
          <w:ilvl w:val="0"/>
          <w:numId w:val="15"/>
        </w:numPr>
        <w:rPr>
          <w:rFonts w:ascii="Arial" w:cs="Arial" w:eastAsia="Arial" w:hAnsi="Arial"/>
          <w:sz w:val="22"/>
          <w:szCs w:val="22"/>
          <w:color w:val="auto"/>
        </w:rPr>
      </w:pPr>
      <w:r>
        <w:rPr>
          <w:rFonts w:ascii="Arial" w:cs="Arial" w:eastAsia="Arial" w:hAnsi="Arial"/>
          <w:sz w:val="22"/>
          <w:szCs w:val="22"/>
          <w:color w:val="auto"/>
        </w:rPr>
        <w:t>Schedule 6E to the Note Agreement is hereby amended by replacing such Schedule in its entirety with Schedule 6E attached hereto.</w:t>
      </w:r>
    </w:p>
    <w:p>
      <w:pPr>
        <w:spacing w:after="0" w:line="173" w:lineRule="exact"/>
        <w:rPr>
          <w:rFonts w:ascii="Arial" w:cs="Arial" w:eastAsia="Arial" w:hAnsi="Arial"/>
          <w:sz w:val="22"/>
          <w:szCs w:val="22"/>
          <w:color w:val="auto"/>
        </w:rPr>
      </w:pPr>
    </w:p>
    <w:p>
      <w:pPr>
        <w:ind w:left="1740" w:hanging="855"/>
        <w:spacing w:after="0"/>
        <w:tabs>
          <w:tab w:leader="none" w:pos="17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Exhibit E to the Note Agreement is hereby amended by replacing such Exhibit in its entirety with Exhibit 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attached hereto.</w:t>
      </w:r>
    </w:p>
    <w:p>
      <w:pPr>
        <w:spacing w:after="0" w:line="182" w:lineRule="exact"/>
        <w:rPr>
          <w:sz w:val="20"/>
          <w:szCs w:val="20"/>
          <w:color w:val="auto"/>
        </w:rPr>
      </w:pPr>
    </w:p>
    <w:p>
      <w:pPr>
        <w:jc w:val="both"/>
        <w:ind w:right="20" w:firstLine="885"/>
        <w:spacing w:after="0" w:line="243" w:lineRule="auto"/>
        <w:tabs>
          <w:tab w:leader="none" w:pos="1688" w:val="left"/>
        </w:tabs>
        <w:numPr>
          <w:ilvl w:val="0"/>
          <w:numId w:val="16"/>
        </w:numPr>
        <w:rPr>
          <w:rFonts w:ascii="Arial" w:cs="Arial" w:eastAsia="Arial" w:hAnsi="Arial"/>
          <w:sz w:val="22"/>
          <w:szCs w:val="22"/>
          <w:color w:val="auto"/>
        </w:rPr>
      </w:pPr>
      <w:r>
        <w:rPr>
          <w:rFonts w:ascii="Arial" w:cs="Arial" w:eastAsia="Arial" w:hAnsi="Arial"/>
          <w:sz w:val="22"/>
          <w:szCs w:val="22"/>
          <w:b w:val="1"/>
          <w:bCs w:val="1"/>
          <w:u w:val="single" w:color="auto"/>
          <w:color w:val="auto"/>
        </w:rPr>
        <w:t>Conditions to Effectiveness of this 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other provision of this Amendment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affecting in any manner the rights of the holders of the Notes hereunder, it is understood and agreed that this Amendment shall not become effective,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jc w:val="both"/>
        <w:spacing w:after="0" w:line="298" w:lineRule="auto"/>
        <w:rPr>
          <w:sz w:val="20"/>
          <w:szCs w:val="20"/>
          <w:color w:val="auto"/>
        </w:rPr>
      </w:pPr>
      <w:r>
        <w:rPr>
          <w:rFonts w:ascii="Arial" w:cs="Arial" w:eastAsia="Arial" w:hAnsi="Arial"/>
          <w:sz w:val="19"/>
          <w:szCs w:val="19"/>
          <w:color w:val="auto"/>
        </w:rPr>
        <w:t>the Company shall have no rights under this Amendment, until the Noteholders shall have received (i) reimbursement or payment of its costs and expenses incurred in connection with this Amendment or the Note Agreement (including reasonable fees, charges and disbursements of King &amp; Spalding LLP, counsel to the Noteholders), and (ii) each of the following documents:</w:t>
      </w:r>
    </w:p>
    <w:p>
      <w:pPr>
        <w:spacing w:after="0" w:line="132" w:lineRule="exact"/>
        <w:rPr>
          <w:sz w:val="20"/>
          <w:szCs w:val="20"/>
          <w:color w:val="auto"/>
        </w:rPr>
      </w:pPr>
    </w:p>
    <w:p>
      <w:pPr>
        <w:ind w:left="1820" w:hanging="935"/>
        <w:spacing w:after="0"/>
        <w:tabs>
          <w:tab w:leader="none" w:pos="18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executed counterparts to this Amendment from the Company and the Noteholders; and</w:t>
      </w:r>
    </w:p>
    <w:p>
      <w:pPr>
        <w:spacing w:after="0" w:line="206" w:lineRule="exact"/>
        <w:rPr>
          <w:rFonts w:ascii="Arial" w:cs="Arial" w:eastAsia="Arial" w:hAnsi="Arial"/>
          <w:sz w:val="22"/>
          <w:szCs w:val="22"/>
          <w:color w:val="auto"/>
        </w:rPr>
      </w:pPr>
    </w:p>
    <w:p>
      <w:pPr>
        <w:jc w:val="both"/>
        <w:ind w:right="20" w:firstLine="885"/>
        <w:spacing w:after="0"/>
        <w:tabs>
          <w:tab w:leader="none" w:pos="1778" w:val="left"/>
        </w:tabs>
        <w:numPr>
          <w:ilvl w:val="0"/>
          <w:numId w:val="17"/>
        </w:numPr>
        <w:rPr>
          <w:rFonts w:ascii="Arial" w:cs="Arial" w:eastAsia="Arial" w:hAnsi="Arial"/>
          <w:sz w:val="22"/>
          <w:szCs w:val="22"/>
          <w:color w:val="auto"/>
        </w:rPr>
      </w:pPr>
      <w:r>
        <w:rPr>
          <w:rFonts w:ascii="Arial" w:cs="Arial" w:eastAsia="Arial" w:hAnsi="Arial"/>
          <w:sz w:val="22"/>
          <w:szCs w:val="22"/>
          <w:color w:val="auto"/>
        </w:rPr>
        <w:t>an executed copy of an amendment to that certain Note Purchase and Private Shelf Agreement, dated as of March 6, 2018, by and among the Company, NYL Investors LLC (“</w:t>
      </w:r>
      <w:r>
        <w:rPr>
          <w:rFonts w:ascii="Arial" w:cs="Arial" w:eastAsia="Arial" w:hAnsi="Arial"/>
          <w:sz w:val="22"/>
          <w:szCs w:val="22"/>
          <w:b w:val="1"/>
          <w:bCs w:val="1"/>
          <w:i w:val="1"/>
          <w:iCs w:val="1"/>
          <w:color w:val="auto"/>
        </w:rPr>
        <w:t>NYL</w:t>
      </w:r>
      <w:r>
        <w:rPr>
          <w:rFonts w:ascii="Arial" w:cs="Arial" w:eastAsia="Arial" w:hAnsi="Arial"/>
          <w:sz w:val="22"/>
          <w:szCs w:val="22"/>
          <w:color w:val="auto"/>
        </w:rPr>
        <w:t>”) and certain affiliates of NYL, in form and substance reasonably satisfactory to the Noteholders (the “</w:t>
      </w:r>
      <w:r>
        <w:rPr>
          <w:rFonts w:ascii="Arial" w:cs="Arial" w:eastAsia="Arial" w:hAnsi="Arial"/>
          <w:sz w:val="22"/>
          <w:szCs w:val="22"/>
          <w:b w:val="1"/>
          <w:bCs w:val="1"/>
          <w:i w:val="1"/>
          <w:iCs w:val="1"/>
          <w:color w:val="auto"/>
        </w:rPr>
        <w:t>NYL Amendment</w:t>
      </w:r>
      <w:r>
        <w:rPr>
          <w:rFonts w:ascii="Arial" w:cs="Arial" w:eastAsia="Arial" w:hAnsi="Arial"/>
          <w:sz w:val="22"/>
          <w:szCs w:val="22"/>
          <w:color w:val="auto"/>
        </w:rPr>
        <w:t>”).</w:t>
      </w:r>
    </w:p>
    <w:p>
      <w:pPr>
        <w:spacing w:after="0" w:line="180" w:lineRule="exact"/>
        <w:rPr>
          <w:sz w:val="20"/>
          <w:szCs w:val="20"/>
          <w:color w:val="auto"/>
        </w:rPr>
      </w:pPr>
    </w:p>
    <w:p>
      <w:pPr>
        <w:ind w:right="20" w:firstLine="885"/>
        <w:spacing w:after="0" w:line="256" w:lineRule="auto"/>
        <w:tabs>
          <w:tab w:leader="none" w:pos="1688" w:val="left"/>
        </w:tabs>
        <w:numPr>
          <w:ilvl w:val="0"/>
          <w:numId w:val="18"/>
        </w:numPr>
        <w:rPr>
          <w:rFonts w:ascii="Arial" w:cs="Arial" w:eastAsia="Arial" w:hAnsi="Arial"/>
          <w:sz w:val="22"/>
          <w:szCs w:val="22"/>
          <w:color w:val="auto"/>
        </w:rPr>
      </w:pPr>
      <w:r>
        <w:rPr>
          <w:rFonts w:ascii="Arial" w:cs="Arial" w:eastAsia="Arial" w:hAnsi="Arial"/>
          <w:sz w:val="22"/>
          <w:szCs w:val="22"/>
          <w:b w:val="1"/>
          <w:bCs w:val="1"/>
          <w:u w:val="single" w:color="auto"/>
          <w:color w:val="auto"/>
        </w:rPr>
        <w:t>Representations and Warranties</w:t>
      </w:r>
      <w:r>
        <w:rPr>
          <w:rFonts w:ascii="Arial" w:cs="Arial" w:eastAsia="Arial" w:hAnsi="Arial"/>
          <w:sz w:val="22"/>
          <w:szCs w:val="22"/>
          <w:b w:val="1"/>
          <w:bCs w:val="1"/>
          <w:color w:val="auto"/>
        </w:rPr>
        <w:t xml:space="preserve">. </w:t>
      </w:r>
      <w:r>
        <w:rPr>
          <w:rFonts w:ascii="Arial" w:cs="Arial" w:eastAsia="Arial" w:hAnsi="Arial"/>
          <w:sz w:val="22"/>
          <w:szCs w:val="22"/>
          <w:color w:val="auto"/>
        </w:rPr>
        <w:t>To induce the Noteholders to enter into this Amendment,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hereby represents and warrants to the Noteholders that:</w:t>
      </w:r>
    </w:p>
    <w:p>
      <w:pPr>
        <w:spacing w:after="0" w:line="169" w:lineRule="exact"/>
        <w:rPr>
          <w:sz w:val="20"/>
          <w:szCs w:val="20"/>
          <w:color w:val="auto"/>
        </w:rPr>
      </w:pPr>
    </w:p>
    <w:p>
      <w:pPr>
        <w:jc w:val="both"/>
        <w:ind w:firstLine="885"/>
        <w:spacing w:after="0" w:line="282" w:lineRule="auto"/>
        <w:tabs>
          <w:tab w:leader="none" w:pos="1765"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making and performance by the Company of this Amendment are within the Company’s corporate powers, have been duly authorized by all necessary corporate action, and do not violate (a) any provision of the Company’s certificate of incorporation or by-laws, (b) any agreement, indenture or other contractual restriction binding on the Company, (c) any law, rule or regulation (including, without limitation, the Securities Act of 1933 and the Exchange Act and the regulations thereunder, and Regulations T, U or X), or (d) any order, writ, judgment, injunction, decree, determination or award binding on the Company;</w:t>
      </w:r>
    </w:p>
    <w:p>
      <w:pPr>
        <w:spacing w:after="0" w:line="147" w:lineRule="exact"/>
        <w:rPr>
          <w:rFonts w:ascii="Arial" w:cs="Arial" w:eastAsia="Arial" w:hAnsi="Arial"/>
          <w:sz w:val="19"/>
          <w:szCs w:val="19"/>
          <w:color w:val="auto"/>
        </w:rPr>
      </w:pPr>
    </w:p>
    <w:p>
      <w:pPr>
        <w:jc w:val="both"/>
        <w:ind w:firstLine="885"/>
        <w:spacing w:after="0" w:line="248" w:lineRule="auto"/>
        <w:tabs>
          <w:tab w:leader="none" w:pos="1778"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This Amendment constitutes a legal, valid and binding obligation of the Company, enforceable against the Company in accordance with its terms, except as may be limited by bankruptcy, insolvency, reorganization, moratorium or other similar laws relating to or affecting the rights of creditors generally and except as the enforceability of this Amendment is subject to the application of general principles of equity (regardless of whether considered in a proceeding in equity or at law), including, without limitation, (i) the possible unavailability of specific performance, injunctive relief or any other equitable remedy and (ii) concepts of materiality, reasonableness, good faith and fair dealing; and</w:t>
      </w:r>
    </w:p>
    <w:p>
      <w:pPr>
        <w:spacing w:after="0" w:line="177" w:lineRule="exact"/>
        <w:rPr>
          <w:rFonts w:ascii="Arial" w:cs="Arial" w:eastAsia="Arial" w:hAnsi="Arial"/>
          <w:sz w:val="21"/>
          <w:szCs w:val="21"/>
          <w:color w:val="auto"/>
        </w:rPr>
      </w:pPr>
    </w:p>
    <w:p>
      <w:pPr>
        <w:jc w:val="both"/>
        <w:ind w:firstLine="885"/>
        <w:spacing w:after="0" w:line="287" w:lineRule="auto"/>
        <w:tabs>
          <w:tab w:leader="none" w:pos="1765" w:val="left"/>
        </w:tabs>
        <w:numPr>
          <w:ilvl w:val="0"/>
          <w:numId w:val="19"/>
        </w:numPr>
        <w:rPr>
          <w:rFonts w:ascii="Arial" w:cs="Arial" w:eastAsia="Arial" w:hAnsi="Arial"/>
          <w:sz w:val="19"/>
          <w:szCs w:val="19"/>
          <w:color w:val="auto"/>
        </w:rPr>
      </w:pPr>
      <w:r>
        <w:rPr>
          <w:rFonts w:ascii="Arial" w:cs="Arial" w:eastAsia="Arial" w:hAnsi="Arial"/>
          <w:sz w:val="19"/>
          <w:szCs w:val="19"/>
          <w:color w:val="auto"/>
        </w:rPr>
        <w:t>After giving effect to this Amendment, the representations and warranties contained in the Note Agreement and the other Note Documents are true and correct in all material respects as of the date hereof (unless expressly stated to relate to an earlier date, in which case such representations and warranties shall be true and correct in all material respects as of such earlier date), and no Default or Event of Default has occurred and is continuing as of the date hereof.</w:t>
      </w:r>
    </w:p>
    <w:p>
      <w:pPr>
        <w:spacing w:after="0" w:line="137" w:lineRule="exact"/>
        <w:rPr>
          <w:sz w:val="20"/>
          <w:szCs w:val="20"/>
          <w:color w:val="auto"/>
        </w:rPr>
      </w:pPr>
    </w:p>
    <w:p>
      <w:pPr>
        <w:jc w:val="both"/>
        <w:ind w:firstLine="885"/>
        <w:spacing w:after="0" w:line="236" w:lineRule="auto"/>
        <w:tabs>
          <w:tab w:leader="none" w:pos="1688" w:val="left"/>
        </w:tabs>
        <w:numPr>
          <w:ilvl w:val="0"/>
          <w:numId w:val="20"/>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 of Amendment</w:t>
      </w:r>
      <w:r>
        <w:rPr>
          <w:rFonts w:ascii="Arial" w:cs="Arial" w:eastAsia="Arial" w:hAnsi="Arial"/>
          <w:sz w:val="22"/>
          <w:szCs w:val="22"/>
          <w:color w:val="auto"/>
        </w:rPr>
        <w:t>. Except as set forth expressly herein, all terms of the Note Agreement, as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hereby, and the other Note Documents shall be and remain in full force and effect and shall constitute the legal, valid, binding and enforceable obligations of the Company to all holders of the Notes. The execution, delivery and effectiveness of this Amendment shall not, except as expressly provided herein, operate as a waiver of any right, power or remedy of the holders of the Notes under the Note Agreement, nor constitute a waiver of any provision of the Note Agreement. From and after the date hereof, all references to the Note Agreement shall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line="251" w:lineRule="auto"/>
        <w:rPr>
          <w:sz w:val="20"/>
          <w:szCs w:val="20"/>
          <w:color w:val="auto"/>
        </w:rPr>
      </w:pPr>
      <w:r>
        <w:rPr>
          <w:rFonts w:ascii="Arial" w:cs="Arial" w:eastAsia="Arial" w:hAnsi="Arial"/>
          <w:sz w:val="22"/>
          <w:szCs w:val="22"/>
          <w:color w:val="auto"/>
        </w:rPr>
        <w:t>the Note Agreement as modified by this Amendment. This Amendment shall constitute a Note Document for all purposes of the Note Agreement.</w:t>
      </w:r>
    </w:p>
    <w:p>
      <w:pPr>
        <w:spacing w:after="0" w:line="168" w:lineRule="exact"/>
        <w:rPr>
          <w:sz w:val="20"/>
          <w:szCs w:val="20"/>
          <w:color w:val="auto"/>
        </w:rPr>
      </w:pPr>
    </w:p>
    <w:p>
      <w:pPr>
        <w:ind w:right="20" w:firstLine="885"/>
        <w:spacing w:after="0" w:line="256" w:lineRule="auto"/>
        <w:tabs>
          <w:tab w:leader="none" w:pos="1688"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Amendment shall be governed by, and construed in accordance with, the internal laws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State of New York and all applicable federal laws of the United States of America.</w:t>
      </w:r>
    </w:p>
    <w:p>
      <w:pPr>
        <w:spacing w:after="0" w:line="162" w:lineRule="exact"/>
        <w:rPr>
          <w:rFonts w:ascii="Arial" w:cs="Arial" w:eastAsia="Arial" w:hAnsi="Arial"/>
          <w:sz w:val="22"/>
          <w:szCs w:val="22"/>
          <w:color w:val="auto"/>
        </w:rPr>
      </w:pPr>
    </w:p>
    <w:p>
      <w:pPr>
        <w:ind w:firstLine="885"/>
        <w:spacing w:after="0" w:line="256" w:lineRule="auto"/>
        <w:tabs>
          <w:tab w:leader="none" w:pos="1688"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No Novation</w:t>
      </w:r>
      <w:r>
        <w:rPr>
          <w:rFonts w:ascii="Arial" w:cs="Arial" w:eastAsia="Arial" w:hAnsi="Arial"/>
          <w:sz w:val="22"/>
          <w:szCs w:val="22"/>
          <w:b w:val="1"/>
          <w:bCs w:val="1"/>
          <w:color w:val="auto"/>
        </w:rPr>
        <w:t xml:space="preserve">. </w:t>
      </w:r>
      <w:r>
        <w:rPr>
          <w:rFonts w:ascii="Arial" w:cs="Arial" w:eastAsia="Arial" w:hAnsi="Arial"/>
          <w:sz w:val="22"/>
          <w:szCs w:val="22"/>
          <w:color w:val="auto"/>
        </w:rPr>
        <w:t>This Amendment is not intended by the parties to be, and shall not be construed to be, a novation</w:t>
      </w:r>
      <w:r>
        <w:rPr>
          <w:rFonts w:ascii="Arial" w:cs="Arial" w:eastAsia="Arial" w:hAnsi="Arial"/>
          <w:sz w:val="22"/>
          <w:szCs w:val="22"/>
          <w:b w:val="1"/>
          <w:bCs w:val="1"/>
          <w:color w:val="auto"/>
        </w:rPr>
        <w:t xml:space="preserve"> </w:t>
      </w:r>
      <w:r>
        <w:rPr>
          <w:rFonts w:ascii="Arial" w:cs="Arial" w:eastAsia="Arial" w:hAnsi="Arial"/>
          <w:sz w:val="22"/>
          <w:szCs w:val="22"/>
          <w:color w:val="auto"/>
        </w:rPr>
        <w:t>of the Note Agreement or an accord and satisfaction in regard thereto.</w:t>
      </w:r>
    </w:p>
    <w:p>
      <w:pPr>
        <w:spacing w:after="0" w:line="162" w:lineRule="exact"/>
        <w:rPr>
          <w:rFonts w:ascii="Arial" w:cs="Arial" w:eastAsia="Arial" w:hAnsi="Arial"/>
          <w:sz w:val="22"/>
          <w:szCs w:val="22"/>
          <w:color w:val="auto"/>
        </w:rPr>
      </w:pPr>
    </w:p>
    <w:p>
      <w:pPr>
        <w:jc w:val="both"/>
        <w:ind w:firstLine="885"/>
        <w:spacing w:after="0" w:line="261" w:lineRule="auto"/>
        <w:tabs>
          <w:tab w:leader="none" w:pos="1688" w:val="left"/>
        </w:tabs>
        <w:numPr>
          <w:ilvl w:val="0"/>
          <w:numId w:val="21"/>
        </w:numPr>
        <w:rPr>
          <w:rFonts w:ascii="Arial" w:cs="Arial" w:eastAsia="Arial" w:hAnsi="Arial"/>
          <w:sz w:val="21"/>
          <w:szCs w:val="21"/>
          <w:color w:val="auto"/>
        </w:rPr>
      </w:pPr>
      <w:r>
        <w:rPr>
          <w:rFonts w:ascii="Arial" w:cs="Arial" w:eastAsia="Arial" w:hAnsi="Arial"/>
          <w:sz w:val="21"/>
          <w:szCs w:val="21"/>
          <w:b w:val="1"/>
          <w:bCs w:val="1"/>
          <w:u w:val="single" w:color="auto"/>
          <w:color w:val="auto"/>
        </w:rPr>
        <w:t>Costs and Expenses</w:t>
      </w:r>
      <w:r>
        <w:rPr>
          <w:rFonts w:ascii="Arial" w:cs="Arial" w:eastAsia="Arial" w:hAnsi="Arial"/>
          <w:sz w:val="21"/>
          <w:szCs w:val="21"/>
          <w:color w:val="auto"/>
        </w:rPr>
        <w:t>. The Company agrees to pay on demand all costs and expenses of the Noteholders in</w:t>
      </w:r>
      <w:r>
        <w:rPr>
          <w:rFonts w:ascii="Arial" w:cs="Arial" w:eastAsia="Arial" w:hAnsi="Arial"/>
          <w:sz w:val="21"/>
          <w:szCs w:val="21"/>
          <w:b w:val="1"/>
          <w:bCs w:val="1"/>
          <w:color w:val="auto"/>
        </w:rPr>
        <w:t xml:space="preserve"> </w:t>
      </w:r>
      <w:r>
        <w:rPr>
          <w:rFonts w:ascii="Arial" w:cs="Arial" w:eastAsia="Arial" w:hAnsi="Arial"/>
          <w:sz w:val="21"/>
          <w:szCs w:val="21"/>
          <w:color w:val="auto"/>
        </w:rPr>
        <w:t>connection with the preparation, execution and delivery of this Amendment, including, without limitation, the reasonable fees and out-of-pocket expenses of outside counsel for the Noteholders with respect thereto.</w:t>
      </w:r>
    </w:p>
    <w:p>
      <w:pPr>
        <w:spacing w:after="0" w:line="157" w:lineRule="exact"/>
        <w:rPr>
          <w:rFonts w:ascii="Arial" w:cs="Arial" w:eastAsia="Arial" w:hAnsi="Arial"/>
          <w:sz w:val="21"/>
          <w:szCs w:val="21"/>
          <w:color w:val="auto"/>
        </w:rPr>
      </w:pPr>
    </w:p>
    <w:p>
      <w:pPr>
        <w:jc w:val="both"/>
        <w:ind w:firstLine="885"/>
        <w:spacing w:after="0" w:line="254" w:lineRule="auto"/>
        <w:tabs>
          <w:tab w:leader="none" w:pos="1688" w:val="left"/>
        </w:tabs>
        <w:numPr>
          <w:ilvl w:val="0"/>
          <w:numId w:val="21"/>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b w:val="1"/>
          <w:bCs w:val="1"/>
          <w:color w:val="auto"/>
        </w:rPr>
        <w:t xml:space="preserve">. </w:t>
      </w:r>
      <w:r>
        <w:rPr>
          <w:rFonts w:ascii="Arial" w:cs="Arial" w:eastAsia="Arial" w:hAnsi="Arial"/>
          <w:sz w:val="21"/>
          <w:szCs w:val="21"/>
          <w:color w:val="auto"/>
        </w:rPr>
        <w:t>This Amendment may be executed by one or more of the parties hereto in any number of</w:t>
      </w:r>
      <w:r>
        <w:rPr>
          <w:rFonts w:ascii="Arial" w:cs="Arial" w:eastAsia="Arial" w:hAnsi="Arial"/>
          <w:sz w:val="21"/>
          <w:szCs w:val="21"/>
          <w:b w:val="1"/>
          <w:bCs w:val="1"/>
          <w:color w:val="auto"/>
        </w:rPr>
        <w:t xml:space="preserve"> </w:t>
      </w:r>
      <w:r>
        <w:rPr>
          <w:rFonts w:ascii="Arial" w:cs="Arial" w:eastAsia="Arial" w:hAnsi="Arial"/>
          <w:sz w:val="21"/>
          <w:szCs w:val="21"/>
          <w:color w:val="auto"/>
        </w:rPr>
        <w:t>separate counterparts, each of which shall be deemed an original and all of which, taken together, shall be deemed to constitute one and the same instrument. Delivery of an executed counterpart of this Amendment by facsimile transmission or by electronic mail in pdf form shall be as effective as delivery of a manually executed counterpart hereof.</w:t>
      </w:r>
    </w:p>
    <w:p>
      <w:pPr>
        <w:spacing w:after="0" w:line="166" w:lineRule="exact"/>
        <w:rPr>
          <w:rFonts w:ascii="Arial" w:cs="Arial" w:eastAsia="Arial" w:hAnsi="Arial"/>
          <w:sz w:val="21"/>
          <w:szCs w:val="21"/>
          <w:color w:val="auto"/>
        </w:rPr>
      </w:pPr>
    </w:p>
    <w:p>
      <w:pPr>
        <w:ind w:firstLine="885"/>
        <w:spacing w:after="0" w:line="280" w:lineRule="auto"/>
        <w:tabs>
          <w:tab w:leader="none" w:pos="1688" w:val="left"/>
        </w:tabs>
        <w:numPr>
          <w:ilvl w:val="0"/>
          <w:numId w:val="21"/>
        </w:numPr>
        <w:rPr>
          <w:rFonts w:ascii="Arial" w:cs="Arial" w:eastAsia="Arial" w:hAnsi="Arial"/>
          <w:sz w:val="21"/>
          <w:szCs w:val="21"/>
          <w:color w:val="auto"/>
        </w:rPr>
      </w:pPr>
      <w:r>
        <w:rPr>
          <w:rFonts w:ascii="Arial" w:cs="Arial" w:eastAsia="Arial" w:hAnsi="Arial"/>
          <w:sz w:val="21"/>
          <w:szCs w:val="21"/>
          <w:b w:val="1"/>
          <w:bCs w:val="1"/>
          <w:u w:val="single" w:color="auto"/>
          <w:color w:val="auto"/>
        </w:rPr>
        <w:t>Binding Nature</w:t>
      </w:r>
      <w:r>
        <w:rPr>
          <w:rFonts w:ascii="Arial" w:cs="Arial" w:eastAsia="Arial" w:hAnsi="Arial"/>
          <w:sz w:val="21"/>
          <w:szCs w:val="21"/>
          <w:b w:val="1"/>
          <w:bCs w:val="1"/>
          <w:color w:val="auto"/>
        </w:rPr>
        <w:t xml:space="preserve">. </w:t>
      </w:r>
      <w:r>
        <w:rPr>
          <w:rFonts w:ascii="Arial" w:cs="Arial" w:eastAsia="Arial" w:hAnsi="Arial"/>
          <w:sz w:val="21"/>
          <w:szCs w:val="21"/>
          <w:color w:val="auto"/>
        </w:rPr>
        <w:t>This Amendment shall be binding upon and inure to the benefit of the parties hereto, any</w:t>
      </w:r>
      <w:r>
        <w:rPr>
          <w:rFonts w:ascii="Arial" w:cs="Arial" w:eastAsia="Arial" w:hAnsi="Arial"/>
          <w:sz w:val="21"/>
          <w:szCs w:val="21"/>
          <w:b w:val="1"/>
          <w:bCs w:val="1"/>
          <w:color w:val="auto"/>
        </w:rPr>
        <w:t xml:space="preserve"> </w:t>
      </w:r>
      <w:r>
        <w:rPr>
          <w:rFonts w:ascii="Arial" w:cs="Arial" w:eastAsia="Arial" w:hAnsi="Arial"/>
          <w:sz w:val="21"/>
          <w:szCs w:val="21"/>
          <w:color w:val="auto"/>
        </w:rPr>
        <w:t>other holders of Notes from time to time and their respective successors, successors-in-titles, and assigns.</w:t>
      </w:r>
    </w:p>
    <w:p>
      <w:pPr>
        <w:spacing w:after="0" w:line="138" w:lineRule="exact"/>
        <w:rPr>
          <w:rFonts w:ascii="Arial" w:cs="Arial" w:eastAsia="Arial" w:hAnsi="Arial"/>
          <w:sz w:val="21"/>
          <w:szCs w:val="21"/>
          <w:color w:val="auto"/>
        </w:rPr>
      </w:pPr>
    </w:p>
    <w:p>
      <w:pPr>
        <w:ind w:firstLine="885"/>
        <w:spacing w:after="0" w:line="335" w:lineRule="auto"/>
        <w:tabs>
          <w:tab w:leader="none" w:pos="1796" w:val="left"/>
        </w:tabs>
        <w:numPr>
          <w:ilvl w:val="0"/>
          <w:numId w:val="21"/>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Understanding</w:t>
      </w:r>
      <w:r>
        <w:rPr>
          <w:rFonts w:ascii="Arial" w:cs="Arial" w:eastAsia="Arial" w:hAnsi="Arial"/>
          <w:sz w:val="19"/>
          <w:szCs w:val="19"/>
          <w:b w:val="1"/>
          <w:bCs w:val="1"/>
          <w:color w:val="auto"/>
        </w:rPr>
        <w:t xml:space="preserve">. </w:t>
      </w:r>
      <w:r>
        <w:rPr>
          <w:rFonts w:ascii="Arial" w:cs="Arial" w:eastAsia="Arial" w:hAnsi="Arial"/>
          <w:sz w:val="19"/>
          <w:szCs w:val="19"/>
          <w:color w:val="auto"/>
        </w:rPr>
        <w:t>This Amendment sets forth the entire understanding of the parties with respect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matters set forth herein, and shall supersede any prior negotiations or agreements, whether written or oral, with respect thereto.</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ind w:firstLine="877"/>
        <w:spacing w:after="0" w:line="251" w:lineRule="auto"/>
        <w:rPr>
          <w:sz w:val="20"/>
          <w:szCs w:val="20"/>
          <w:color w:val="auto"/>
        </w:rPr>
      </w:pPr>
      <w:r>
        <w:rPr>
          <w:rFonts w:ascii="Arial" w:cs="Arial" w:eastAsia="Arial" w:hAnsi="Arial"/>
          <w:sz w:val="22"/>
          <w:szCs w:val="22"/>
          <w:color w:val="auto"/>
        </w:rPr>
        <w:t>IN WITNESS WHEREOF, the parties hereto have caused this Amendment to be duly executed, under seal in the case of the Company, by its respective authorized officers as of the day and year first above written.</w:t>
      </w:r>
    </w:p>
    <w:p>
      <w:pPr>
        <w:spacing w:after="0" w:line="200" w:lineRule="exact"/>
        <w:rPr>
          <w:sz w:val="20"/>
          <w:szCs w:val="20"/>
          <w:color w:val="auto"/>
        </w:rPr>
      </w:pPr>
    </w:p>
    <w:p>
      <w:pPr>
        <w:spacing w:after="0" w:line="399"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COMPANY:</w:t>
      </w:r>
    </w:p>
    <w:p>
      <w:pPr>
        <w:spacing w:after="0" w:line="206"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COCA-COLA BOTTLING CO. CONSOLIDATED</w:t>
      </w:r>
    </w:p>
    <w:p>
      <w:pPr>
        <w:spacing w:after="0" w:line="200" w:lineRule="exact"/>
        <w:rPr>
          <w:sz w:val="20"/>
          <w:szCs w:val="20"/>
          <w:color w:val="auto"/>
        </w:rPr>
      </w:pPr>
    </w:p>
    <w:p>
      <w:pPr>
        <w:spacing w:after="0" w:line="228" w:lineRule="exact"/>
        <w:rPr>
          <w:sz w:val="20"/>
          <w:szCs w:val="20"/>
          <w:color w:val="auto"/>
        </w:rPr>
      </w:pPr>
    </w:p>
    <w:tbl>
      <w:tblPr>
        <w:tblLayout w:type="fixed"/>
        <w:tblInd w:w="5160" w:type="dxa"/>
        <w:tblCellMar>
          <w:top w:w="0" w:type="dxa"/>
          <w:left w:w="0" w:type="dxa"/>
          <w:bottom w:w="0" w:type="dxa"/>
          <w:right w:w="0" w:type="dxa"/>
        </w:tblCellMar>
      </w:tblPr>
      <w:tr>
        <w:trPr>
          <w:trHeight w:val="26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David M. Katz</w:t>
            </w:r>
          </w:p>
        </w:tc>
      </w:tr>
      <w:tr>
        <w:trPr>
          <w:trHeight w:val="215"/>
        </w:trPr>
        <w:tc>
          <w:tcPr>
            <w:tcW w:w="10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260" w:type="dxa"/>
            <w:vAlign w:val="bottom"/>
          </w:tcPr>
          <w:p>
            <w:pPr>
              <w:spacing w:after="0" w:line="216" w:lineRule="exact"/>
              <w:rPr>
                <w:sz w:val="20"/>
                <w:szCs w:val="20"/>
                <w:color w:val="auto"/>
              </w:rPr>
            </w:pPr>
            <w:r>
              <w:rPr>
                <w:rFonts w:ascii="Arial" w:cs="Arial" w:eastAsia="Arial" w:hAnsi="Arial"/>
                <w:sz w:val="22"/>
                <w:szCs w:val="22"/>
                <w:color w:val="auto"/>
              </w:rPr>
              <w:t>David M. Katz</w:t>
            </w:r>
          </w:p>
        </w:tc>
      </w:tr>
      <w:tr>
        <w:trPr>
          <w:trHeight w:val="243"/>
        </w:trPr>
        <w:tc>
          <w:tcPr>
            <w:tcW w:w="10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5260" w:type="dxa"/>
            <w:vAlign w:val="bottom"/>
          </w:tcPr>
          <w:p>
            <w:pPr>
              <w:spacing w:after="0" w:line="243" w:lineRule="exact"/>
              <w:rPr>
                <w:sz w:val="20"/>
                <w:szCs w:val="20"/>
                <w:color w:val="auto"/>
              </w:rPr>
            </w:pPr>
            <w:r>
              <w:rPr>
                <w:rFonts w:ascii="Arial" w:cs="Arial" w:eastAsia="Arial" w:hAnsi="Arial"/>
                <w:sz w:val="22"/>
                <w:szCs w:val="22"/>
                <w:color w:val="auto"/>
              </w:rPr>
              <w:t>Executive Vice President and</w:t>
            </w:r>
          </w:p>
        </w:tc>
      </w:tr>
      <w:tr>
        <w:trPr>
          <w:trHeight w:val="275"/>
        </w:trPr>
        <w:tc>
          <w:tcPr>
            <w:tcW w:w="1000" w:type="dxa"/>
            <w:vAlign w:val="bottom"/>
          </w:tcPr>
          <w:p>
            <w:pPr>
              <w:spacing w:after="0"/>
              <w:rPr>
                <w:sz w:val="23"/>
                <w:szCs w:val="23"/>
                <w:color w:val="auto"/>
              </w:rPr>
            </w:pPr>
          </w:p>
        </w:tc>
        <w:tc>
          <w:tcPr>
            <w:tcW w:w="526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FIRST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PURCHASE AND PRIVATE SHELF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0" w:name="page11"/>
    <w:bookmarkEnd w:id="10"/>
    <w:p>
      <w:pPr>
        <w:ind w:left="3960"/>
        <w:spacing w:after="0"/>
        <w:rPr>
          <w:sz w:val="20"/>
          <w:szCs w:val="20"/>
          <w:color w:val="auto"/>
        </w:rPr>
      </w:pPr>
      <w:r>
        <w:rPr>
          <w:rFonts w:ascii="Arial" w:cs="Arial" w:eastAsia="Arial" w:hAnsi="Arial"/>
          <w:sz w:val="22"/>
          <w:szCs w:val="22"/>
          <w:b w:val="1"/>
          <w:bCs w:val="1"/>
          <w:color w:val="auto"/>
        </w:rPr>
        <w:t>PGIM, INC.</w:t>
      </w:r>
    </w:p>
    <w:p>
      <w:pPr>
        <w:spacing w:after="0" w:line="212" w:lineRule="exact"/>
        <w:rPr>
          <w:sz w:val="20"/>
          <w:szCs w:val="20"/>
          <w:color w:val="auto"/>
        </w:rPr>
      </w:pPr>
    </w:p>
    <w:tbl>
      <w:tblPr>
        <w:tblLayout w:type="fixed"/>
        <w:tblInd w:w="3960" w:type="dxa"/>
        <w:tblCellMar>
          <w:top w:w="0" w:type="dxa"/>
          <w:left w:w="0" w:type="dxa"/>
          <w:bottom w:w="0" w:type="dxa"/>
          <w:right w:w="0" w:type="dxa"/>
        </w:tblCellMar>
      </w:tblPr>
      <w:tr>
        <w:trPr>
          <w:trHeight w:val="26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Ashley Dexter</w:t>
            </w:r>
          </w:p>
        </w:tc>
      </w:tr>
      <w:tr>
        <w:trPr>
          <w:trHeight w:val="268"/>
        </w:trPr>
        <w:tc>
          <w:tcPr>
            <w:tcW w:w="1000" w:type="dxa"/>
            <w:vAlign w:val="bottom"/>
          </w:tcPr>
          <w:p>
            <w:pPr>
              <w:spacing w:after="0"/>
              <w:rPr>
                <w:sz w:val="23"/>
                <w:szCs w:val="23"/>
                <w:color w:val="auto"/>
              </w:rPr>
            </w:pPr>
          </w:p>
        </w:tc>
        <w:tc>
          <w:tcPr>
            <w:tcW w:w="5260" w:type="dxa"/>
            <w:vAlign w:val="bottom"/>
          </w:tcPr>
          <w:p>
            <w:pPr>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389"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NOTEHOLDERS:</w:t>
      </w:r>
    </w:p>
    <w:p>
      <w:pPr>
        <w:spacing w:after="0" w:line="206" w:lineRule="exact"/>
        <w:rPr>
          <w:sz w:val="20"/>
          <w:szCs w:val="20"/>
          <w:color w:val="auto"/>
        </w:rPr>
      </w:pPr>
    </w:p>
    <w:p>
      <w:pPr>
        <w:jc w:val="right"/>
        <w:ind w:right="340"/>
        <w:spacing w:after="0"/>
        <w:rPr>
          <w:sz w:val="20"/>
          <w:szCs w:val="20"/>
          <w:color w:val="auto"/>
        </w:rPr>
      </w:pPr>
      <w:r>
        <w:rPr>
          <w:rFonts w:ascii="Arial" w:cs="Arial" w:eastAsia="Arial" w:hAnsi="Arial"/>
          <w:sz w:val="22"/>
          <w:szCs w:val="22"/>
          <w:b w:val="1"/>
          <w:bCs w:val="1"/>
          <w:color w:val="auto"/>
        </w:rPr>
        <w:t>THE PRUDENTIAL INSURANCE COMPANY OF AMERICA</w:t>
      </w:r>
    </w:p>
    <w:p>
      <w:pPr>
        <w:spacing w:after="0" w:line="212" w:lineRule="exact"/>
        <w:rPr>
          <w:sz w:val="20"/>
          <w:szCs w:val="20"/>
          <w:color w:val="auto"/>
        </w:rPr>
      </w:pPr>
    </w:p>
    <w:tbl>
      <w:tblPr>
        <w:tblLayout w:type="fixed"/>
        <w:tblInd w:w="3960" w:type="dxa"/>
        <w:tblCellMar>
          <w:top w:w="0" w:type="dxa"/>
          <w:left w:w="0" w:type="dxa"/>
          <w:bottom w:w="0" w:type="dxa"/>
          <w:right w:w="0" w:type="dxa"/>
        </w:tblCellMar>
      </w:tblPr>
      <w:tr>
        <w:trPr>
          <w:trHeight w:val="26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Ashley Dexter</w:t>
            </w:r>
          </w:p>
        </w:tc>
      </w:tr>
      <w:tr>
        <w:trPr>
          <w:trHeight w:val="268"/>
        </w:trPr>
        <w:tc>
          <w:tcPr>
            <w:tcW w:w="1000" w:type="dxa"/>
            <w:vAlign w:val="bottom"/>
          </w:tcPr>
          <w:p>
            <w:pPr>
              <w:spacing w:after="0"/>
              <w:rPr>
                <w:sz w:val="23"/>
                <w:szCs w:val="23"/>
                <w:color w:val="auto"/>
              </w:rPr>
            </w:pPr>
          </w:p>
        </w:tc>
        <w:tc>
          <w:tcPr>
            <w:tcW w:w="5260" w:type="dxa"/>
            <w:vAlign w:val="bottom"/>
          </w:tcPr>
          <w:p>
            <w:pPr>
              <w:spacing w:after="0"/>
              <w:rPr>
                <w:sz w:val="20"/>
                <w:szCs w:val="20"/>
                <w:color w:val="auto"/>
              </w:rPr>
            </w:pPr>
            <w:r>
              <w:rPr>
                <w:rFonts w:ascii="Arial" w:cs="Arial" w:eastAsia="Arial" w:hAnsi="Arial"/>
                <w:sz w:val="22"/>
                <w:szCs w:val="22"/>
                <w:color w:val="auto"/>
              </w:rPr>
              <w:t>Vice President</w:t>
            </w:r>
          </w:p>
        </w:tc>
      </w:tr>
      <w:tr>
        <w:trPr>
          <w:trHeight w:val="438"/>
        </w:trPr>
        <w:tc>
          <w:tcPr>
            <w:tcW w:w="6260" w:type="dxa"/>
            <w:vAlign w:val="bottom"/>
            <w:gridSpan w:val="2"/>
          </w:tcPr>
          <w:p>
            <w:pPr>
              <w:spacing w:after="0"/>
              <w:rPr>
                <w:sz w:val="20"/>
                <w:szCs w:val="20"/>
                <w:color w:val="auto"/>
              </w:rPr>
            </w:pPr>
            <w:r>
              <w:rPr>
                <w:rFonts w:ascii="Arial" w:cs="Arial" w:eastAsia="Arial" w:hAnsi="Arial"/>
                <w:sz w:val="22"/>
                <w:szCs w:val="22"/>
                <w:b w:val="1"/>
                <w:bCs w:val="1"/>
                <w:color w:val="auto"/>
              </w:rPr>
              <w:t>THE GIBRALTAR LIFE INSURANCE CO., LTD.</w:t>
            </w:r>
          </w:p>
        </w:tc>
      </w:tr>
      <w:tr>
        <w:trPr>
          <w:trHeight w:val="428"/>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Pr>
          <w:p>
            <w:pPr>
              <w:spacing w:after="0"/>
              <w:rPr>
                <w:sz w:val="20"/>
                <w:szCs w:val="20"/>
                <w:color w:val="auto"/>
              </w:rPr>
            </w:pPr>
            <w:r>
              <w:rPr>
                <w:rFonts w:ascii="Arial" w:cs="Arial" w:eastAsia="Arial" w:hAnsi="Arial"/>
                <w:sz w:val="22"/>
                <w:szCs w:val="22"/>
                <w:color w:val="auto"/>
                <w:w w:val="97"/>
              </w:rPr>
              <w:t>Prudential Investment Management Japan Co., Ltd., as</w:t>
            </w:r>
          </w:p>
        </w:tc>
      </w:tr>
      <w:tr>
        <w:trPr>
          <w:trHeight w:val="275"/>
        </w:trPr>
        <w:tc>
          <w:tcPr>
            <w:tcW w:w="1000" w:type="dxa"/>
            <w:vAlign w:val="bottom"/>
          </w:tcPr>
          <w:p>
            <w:pPr>
              <w:spacing w:after="0"/>
              <w:rPr>
                <w:sz w:val="23"/>
                <w:szCs w:val="23"/>
                <w:color w:val="auto"/>
              </w:rPr>
            </w:pPr>
          </w:p>
        </w:tc>
        <w:tc>
          <w:tcPr>
            <w:tcW w:w="5260" w:type="dxa"/>
            <w:vAlign w:val="bottom"/>
          </w:tcPr>
          <w:p>
            <w:pPr>
              <w:spacing w:after="0"/>
              <w:rPr>
                <w:sz w:val="20"/>
                <w:szCs w:val="20"/>
                <w:color w:val="auto"/>
              </w:rPr>
            </w:pPr>
            <w:r>
              <w:rPr>
                <w:rFonts w:ascii="Arial" w:cs="Arial" w:eastAsia="Arial" w:hAnsi="Arial"/>
                <w:sz w:val="22"/>
                <w:szCs w:val="22"/>
                <w:color w:val="auto"/>
              </w:rPr>
              <w:t>Investment Manager</w:t>
            </w:r>
          </w:p>
        </w:tc>
      </w:tr>
      <w:tr>
        <w:trPr>
          <w:trHeight w:val="459"/>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Pr>
          <w:p>
            <w:pPr>
              <w:spacing w:after="0"/>
              <w:rPr>
                <w:sz w:val="20"/>
                <w:szCs w:val="20"/>
                <w:color w:val="auto"/>
              </w:rPr>
            </w:pPr>
            <w:r>
              <w:rPr>
                <w:rFonts w:ascii="Arial" w:cs="Arial" w:eastAsia="Arial" w:hAnsi="Arial"/>
                <w:sz w:val="22"/>
                <w:szCs w:val="22"/>
                <w:color w:val="auto"/>
              </w:rPr>
              <w:t>PGIM, Inc., as Sub-Adviser</w:t>
            </w:r>
          </w:p>
        </w:tc>
      </w:tr>
      <w:tr>
        <w:trPr>
          <w:trHeight w:val="449"/>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Ashley Dexter</w:t>
            </w:r>
          </w:p>
        </w:tc>
      </w:tr>
      <w:tr>
        <w:trPr>
          <w:trHeight w:val="268"/>
        </w:trPr>
        <w:tc>
          <w:tcPr>
            <w:tcW w:w="1000" w:type="dxa"/>
            <w:vAlign w:val="bottom"/>
          </w:tcPr>
          <w:p>
            <w:pPr>
              <w:spacing w:after="0"/>
              <w:rPr>
                <w:sz w:val="23"/>
                <w:szCs w:val="23"/>
                <w:color w:val="auto"/>
              </w:rPr>
            </w:pPr>
          </w:p>
        </w:tc>
        <w:tc>
          <w:tcPr>
            <w:tcW w:w="5260" w:type="dxa"/>
            <w:vAlign w:val="bottom"/>
          </w:tcPr>
          <w:p>
            <w:pPr>
              <w:spacing w:after="0"/>
              <w:rPr>
                <w:sz w:val="20"/>
                <w:szCs w:val="20"/>
                <w:color w:val="auto"/>
              </w:rPr>
            </w:pPr>
            <w:r>
              <w:rPr>
                <w:rFonts w:ascii="Arial" w:cs="Arial" w:eastAsia="Arial" w:hAnsi="Arial"/>
                <w:sz w:val="22"/>
                <w:szCs w:val="22"/>
                <w:color w:val="auto"/>
              </w:rPr>
              <w:t>Vice President</w:t>
            </w:r>
          </w:p>
        </w:tc>
      </w:tr>
    </w:tbl>
    <w:p>
      <w:pPr>
        <w:spacing w:after="0" w:line="157" w:lineRule="exact"/>
        <w:rPr>
          <w:sz w:val="20"/>
          <w:szCs w:val="20"/>
          <w:color w:val="auto"/>
        </w:rPr>
      </w:pPr>
    </w:p>
    <w:p>
      <w:pPr>
        <w:ind w:left="3960" w:right="380"/>
        <w:spacing w:after="0" w:line="256" w:lineRule="auto"/>
        <w:rPr>
          <w:sz w:val="20"/>
          <w:szCs w:val="20"/>
          <w:color w:val="auto"/>
        </w:rPr>
      </w:pPr>
      <w:r>
        <w:rPr>
          <w:rFonts w:ascii="Arial" w:cs="Arial" w:eastAsia="Arial" w:hAnsi="Arial"/>
          <w:sz w:val="22"/>
          <w:szCs w:val="22"/>
          <w:b w:val="1"/>
          <w:bCs w:val="1"/>
          <w:color w:val="auto"/>
        </w:rPr>
        <w:t>PRUDENTIAL RETIREMENT INSURANCE AND ANNUITY COMPANY</w:t>
      </w:r>
    </w:p>
    <w:p>
      <w:pPr>
        <w:spacing w:after="0" w:line="169" w:lineRule="exact"/>
        <w:rPr>
          <w:sz w:val="20"/>
          <w:szCs w:val="20"/>
          <w:color w:val="auto"/>
        </w:rPr>
      </w:pPr>
    </w:p>
    <w:tbl>
      <w:tblPr>
        <w:tblLayout w:type="fixed"/>
        <w:tblInd w:w="3960" w:type="dxa"/>
        <w:tblCellMar>
          <w:top w:w="0" w:type="dxa"/>
          <w:left w:w="0" w:type="dxa"/>
          <w:bottom w:w="0" w:type="dxa"/>
          <w:right w:w="0" w:type="dxa"/>
        </w:tblCellMar>
      </w:tblPr>
      <w:tr>
        <w:trPr>
          <w:trHeight w:val="27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Pr>
          <w:p>
            <w:pPr>
              <w:spacing w:after="0"/>
              <w:rPr>
                <w:sz w:val="20"/>
                <w:szCs w:val="20"/>
                <w:color w:val="auto"/>
              </w:rPr>
            </w:pPr>
            <w:r>
              <w:rPr>
                <w:rFonts w:ascii="Arial" w:cs="Arial" w:eastAsia="Arial" w:hAnsi="Arial"/>
                <w:sz w:val="22"/>
                <w:szCs w:val="22"/>
                <w:color w:val="auto"/>
              </w:rPr>
              <w:t>PGIM, Inc., as investment manager</w:t>
            </w:r>
          </w:p>
        </w:tc>
      </w:tr>
      <w:tr>
        <w:trPr>
          <w:trHeight w:val="449"/>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Ashley Dexter</w:t>
            </w:r>
          </w:p>
        </w:tc>
      </w:tr>
      <w:tr>
        <w:trPr>
          <w:trHeight w:val="268"/>
        </w:trPr>
        <w:tc>
          <w:tcPr>
            <w:tcW w:w="1000" w:type="dxa"/>
            <w:vAlign w:val="bottom"/>
          </w:tcPr>
          <w:p>
            <w:pPr>
              <w:spacing w:after="0"/>
              <w:rPr>
                <w:sz w:val="23"/>
                <w:szCs w:val="23"/>
                <w:color w:val="auto"/>
              </w:rPr>
            </w:pPr>
          </w:p>
        </w:tc>
        <w:tc>
          <w:tcPr>
            <w:tcW w:w="5260" w:type="dxa"/>
            <w:vAlign w:val="bottom"/>
          </w:tcPr>
          <w:p>
            <w:pPr>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SIGNATURE PAGE TO FIRST AMENDMENT TO</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NOTE PURCHASE AND PRIVATE SHELF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69215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003" w:right="239" w:bottom="1440" w:gutter="0" w:footer="0" w:header="0"/>
        </w:sectPr>
      </w:pPr>
    </w:p>
    <w:bookmarkStart w:id="11" w:name="page12"/>
    <w:bookmarkEnd w:id="11"/>
    <w:p>
      <w:pPr>
        <w:ind w:left="3960"/>
        <w:spacing w:after="0"/>
        <w:rPr>
          <w:sz w:val="20"/>
          <w:szCs w:val="20"/>
          <w:color w:val="auto"/>
        </w:rPr>
      </w:pPr>
      <w:r>
        <w:rPr>
          <w:rFonts w:ascii="Arial" w:cs="Arial" w:eastAsia="Arial" w:hAnsi="Arial"/>
          <w:sz w:val="22"/>
          <w:szCs w:val="22"/>
          <w:b w:val="1"/>
          <w:bCs w:val="1"/>
          <w:color w:val="auto"/>
        </w:rPr>
        <w:t>UNITED OMAHA LIFE INSURANCE COMPANY</w:t>
      </w:r>
    </w:p>
    <w:p>
      <w:pPr>
        <w:spacing w:after="0" w:line="203" w:lineRule="exact"/>
        <w:rPr>
          <w:sz w:val="20"/>
          <w:szCs w:val="20"/>
          <w:color w:val="auto"/>
        </w:rPr>
      </w:pPr>
    </w:p>
    <w:tbl>
      <w:tblPr>
        <w:tblLayout w:type="fixed"/>
        <w:tblInd w:w="396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Pr>
          <w:p>
            <w:pPr>
              <w:spacing w:after="0"/>
              <w:rPr>
                <w:sz w:val="20"/>
                <w:szCs w:val="20"/>
                <w:color w:val="auto"/>
              </w:rPr>
            </w:pPr>
            <w:r>
              <w:rPr>
                <w:rFonts w:ascii="Arial" w:cs="Arial" w:eastAsia="Arial" w:hAnsi="Arial"/>
                <w:sz w:val="22"/>
                <w:szCs w:val="22"/>
                <w:color w:val="auto"/>
                <w:w w:val="90"/>
              </w:rPr>
              <w:t>Prudential Private Placement Investors, L.P. (as Investment</w:t>
            </w:r>
          </w:p>
        </w:tc>
      </w:tr>
      <w:tr>
        <w:trPr>
          <w:trHeight w:val="275"/>
        </w:trPr>
        <w:tc>
          <w:tcPr>
            <w:tcW w:w="1000" w:type="dxa"/>
            <w:vAlign w:val="bottom"/>
          </w:tcPr>
          <w:p>
            <w:pPr>
              <w:spacing w:after="0"/>
              <w:rPr>
                <w:sz w:val="23"/>
                <w:szCs w:val="23"/>
                <w:color w:val="auto"/>
              </w:rPr>
            </w:pPr>
          </w:p>
        </w:tc>
        <w:tc>
          <w:tcPr>
            <w:tcW w:w="5260" w:type="dxa"/>
            <w:vAlign w:val="bottom"/>
          </w:tcPr>
          <w:p>
            <w:pPr>
              <w:spacing w:after="0"/>
              <w:rPr>
                <w:sz w:val="20"/>
                <w:szCs w:val="20"/>
                <w:color w:val="auto"/>
              </w:rPr>
            </w:pPr>
            <w:r>
              <w:rPr>
                <w:rFonts w:ascii="Arial" w:cs="Arial" w:eastAsia="Arial" w:hAnsi="Arial"/>
                <w:sz w:val="22"/>
                <w:szCs w:val="22"/>
                <w:color w:val="auto"/>
              </w:rPr>
              <w:t>Advisor)</w:t>
            </w:r>
          </w:p>
        </w:tc>
      </w:tr>
      <w:tr>
        <w:trPr>
          <w:trHeight w:val="428"/>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Pr>
          <w:p>
            <w:pPr>
              <w:spacing w:after="0"/>
              <w:rPr>
                <w:sz w:val="20"/>
                <w:szCs w:val="20"/>
                <w:color w:val="auto"/>
              </w:rPr>
            </w:pPr>
            <w:r>
              <w:rPr>
                <w:rFonts w:ascii="Arial" w:cs="Arial" w:eastAsia="Arial" w:hAnsi="Arial"/>
                <w:sz w:val="22"/>
                <w:szCs w:val="22"/>
                <w:color w:val="auto"/>
                <w:w w:val="90"/>
              </w:rPr>
              <w:t>Prudential Private Placement Investors, Inc. (as its General</w:t>
            </w:r>
          </w:p>
        </w:tc>
      </w:tr>
      <w:tr>
        <w:trPr>
          <w:trHeight w:val="275"/>
        </w:trPr>
        <w:tc>
          <w:tcPr>
            <w:tcW w:w="1000" w:type="dxa"/>
            <w:vAlign w:val="bottom"/>
          </w:tcPr>
          <w:p>
            <w:pPr>
              <w:spacing w:after="0"/>
              <w:rPr>
                <w:sz w:val="23"/>
                <w:szCs w:val="23"/>
                <w:color w:val="auto"/>
              </w:rPr>
            </w:pPr>
          </w:p>
        </w:tc>
        <w:tc>
          <w:tcPr>
            <w:tcW w:w="5260" w:type="dxa"/>
            <w:vAlign w:val="bottom"/>
          </w:tcPr>
          <w:p>
            <w:pPr>
              <w:spacing w:after="0"/>
              <w:rPr>
                <w:sz w:val="20"/>
                <w:szCs w:val="20"/>
                <w:color w:val="auto"/>
              </w:rPr>
            </w:pPr>
            <w:r>
              <w:rPr>
                <w:rFonts w:ascii="Arial" w:cs="Arial" w:eastAsia="Arial" w:hAnsi="Arial"/>
                <w:sz w:val="22"/>
                <w:szCs w:val="22"/>
                <w:color w:val="auto"/>
              </w:rPr>
              <w:t>Partner)</w:t>
            </w:r>
          </w:p>
        </w:tc>
      </w:tr>
      <w:tr>
        <w:trPr>
          <w:trHeight w:val="449"/>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Ashley Dexter</w:t>
            </w:r>
          </w:p>
        </w:tc>
      </w:tr>
      <w:tr>
        <w:trPr>
          <w:trHeight w:val="268"/>
        </w:trPr>
        <w:tc>
          <w:tcPr>
            <w:tcW w:w="1000" w:type="dxa"/>
            <w:vAlign w:val="bottom"/>
          </w:tcPr>
          <w:p>
            <w:pPr>
              <w:spacing w:after="0"/>
              <w:rPr>
                <w:sz w:val="23"/>
                <w:szCs w:val="23"/>
                <w:color w:val="auto"/>
              </w:rPr>
            </w:pPr>
          </w:p>
        </w:tc>
        <w:tc>
          <w:tcPr>
            <w:tcW w:w="5260" w:type="dxa"/>
            <w:vAlign w:val="bottom"/>
          </w:tcPr>
          <w:p>
            <w:pPr>
              <w:spacing w:after="0"/>
              <w:rPr>
                <w:sz w:val="20"/>
                <w:szCs w:val="20"/>
                <w:color w:val="auto"/>
              </w:rPr>
            </w:pPr>
            <w:r>
              <w:rPr>
                <w:rFonts w:ascii="Arial" w:cs="Arial" w:eastAsia="Arial" w:hAnsi="Arial"/>
                <w:sz w:val="22"/>
                <w:szCs w:val="22"/>
                <w:color w:val="auto"/>
              </w:rPr>
              <w:t>Vice President</w:t>
            </w:r>
          </w:p>
        </w:tc>
      </w:tr>
      <w:tr>
        <w:trPr>
          <w:trHeight w:val="438"/>
        </w:trPr>
        <w:tc>
          <w:tcPr>
            <w:tcW w:w="6260" w:type="dxa"/>
            <w:vAlign w:val="bottom"/>
            <w:gridSpan w:val="2"/>
          </w:tcPr>
          <w:p>
            <w:pPr>
              <w:spacing w:after="0"/>
              <w:rPr>
                <w:sz w:val="20"/>
                <w:szCs w:val="20"/>
                <w:color w:val="auto"/>
              </w:rPr>
            </w:pPr>
            <w:r>
              <w:rPr>
                <w:rFonts w:ascii="Arial" w:cs="Arial" w:eastAsia="Arial" w:hAnsi="Arial"/>
                <w:sz w:val="22"/>
                <w:szCs w:val="22"/>
                <w:b w:val="1"/>
                <w:bCs w:val="1"/>
                <w:color w:val="auto"/>
              </w:rPr>
              <w:t>THE PRUDENTIAL LIFE INSURANCE COMPANY, LTD.</w:t>
            </w:r>
          </w:p>
        </w:tc>
      </w:tr>
      <w:tr>
        <w:trPr>
          <w:trHeight w:val="428"/>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Pr>
          <w:p>
            <w:pPr>
              <w:spacing w:after="0"/>
              <w:rPr>
                <w:sz w:val="20"/>
                <w:szCs w:val="20"/>
                <w:color w:val="auto"/>
              </w:rPr>
            </w:pPr>
            <w:r>
              <w:rPr>
                <w:rFonts w:ascii="Arial" w:cs="Arial" w:eastAsia="Arial" w:hAnsi="Arial"/>
                <w:sz w:val="22"/>
                <w:szCs w:val="22"/>
                <w:color w:val="auto"/>
                <w:w w:val="97"/>
              </w:rPr>
              <w:t>Prudential Investment Management Japan Co., Ltd., as</w:t>
            </w:r>
          </w:p>
        </w:tc>
      </w:tr>
      <w:tr>
        <w:trPr>
          <w:trHeight w:val="275"/>
        </w:trPr>
        <w:tc>
          <w:tcPr>
            <w:tcW w:w="1000" w:type="dxa"/>
            <w:vAlign w:val="bottom"/>
          </w:tcPr>
          <w:p>
            <w:pPr>
              <w:spacing w:after="0"/>
              <w:rPr>
                <w:sz w:val="23"/>
                <w:szCs w:val="23"/>
                <w:color w:val="auto"/>
              </w:rPr>
            </w:pPr>
          </w:p>
        </w:tc>
        <w:tc>
          <w:tcPr>
            <w:tcW w:w="5260" w:type="dxa"/>
            <w:vAlign w:val="bottom"/>
          </w:tcPr>
          <w:p>
            <w:pPr>
              <w:spacing w:after="0"/>
              <w:rPr>
                <w:sz w:val="20"/>
                <w:szCs w:val="20"/>
                <w:color w:val="auto"/>
              </w:rPr>
            </w:pPr>
            <w:r>
              <w:rPr>
                <w:rFonts w:ascii="Arial" w:cs="Arial" w:eastAsia="Arial" w:hAnsi="Arial"/>
                <w:sz w:val="22"/>
                <w:szCs w:val="22"/>
                <w:color w:val="auto"/>
              </w:rPr>
              <w:t>Investment Manager</w:t>
            </w:r>
          </w:p>
        </w:tc>
      </w:tr>
      <w:tr>
        <w:trPr>
          <w:trHeight w:val="459"/>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Pr>
          <w:p>
            <w:pPr>
              <w:spacing w:after="0"/>
              <w:rPr>
                <w:sz w:val="20"/>
                <w:szCs w:val="20"/>
                <w:color w:val="auto"/>
              </w:rPr>
            </w:pPr>
            <w:r>
              <w:rPr>
                <w:rFonts w:ascii="Arial" w:cs="Arial" w:eastAsia="Arial" w:hAnsi="Arial"/>
                <w:sz w:val="22"/>
                <w:szCs w:val="22"/>
                <w:color w:val="auto"/>
              </w:rPr>
              <w:t>PGIM, Inc., as Sub-Adviser</w:t>
            </w:r>
          </w:p>
        </w:tc>
      </w:tr>
      <w:tr>
        <w:trPr>
          <w:trHeight w:val="449"/>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Ashley Dexter</w:t>
            </w:r>
          </w:p>
        </w:tc>
      </w:tr>
      <w:tr>
        <w:trPr>
          <w:trHeight w:val="268"/>
        </w:trPr>
        <w:tc>
          <w:tcPr>
            <w:tcW w:w="1000" w:type="dxa"/>
            <w:vAlign w:val="bottom"/>
          </w:tcPr>
          <w:p>
            <w:pPr>
              <w:spacing w:after="0"/>
              <w:rPr>
                <w:sz w:val="23"/>
                <w:szCs w:val="23"/>
                <w:color w:val="auto"/>
              </w:rPr>
            </w:pPr>
          </w:p>
        </w:tc>
        <w:tc>
          <w:tcPr>
            <w:tcW w:w="5260" w:type="dxa"/>
            <w:vAlign w:val="bottom"/>
          </w:tcPr>
          <w:p>
            <w:pPr>
              <w:spacing w:after="0"/>
              <w:rPr>
                <w:sz w:val="20"/>
                <w:szCs w:val="20"/>
                <w:color w:val="auto"/>
              </w:rPr>
            </w:pPr>
            <w:r>
              <w:rPr>
                <w:rFonts w:ascii="Arial" w:cs="Arial" w:eastAsia="Arial" w:hAnsi="Arial"/>
                <w:sz w:val="22"/>
                <w:szCs w:val="22"/>
                <w:color w:val="auto"/>
              </w:rPr>
              <w:t>Vice President</w:t>
            </w:r>
          </w:p>
        </w:tc>
      </w:tr>
      <w:tr>
        <w:trPr>
          <w:trHeight w:val="438"/>
        </w:trPr>
        <w:tc>
          <w:tcPr>
            <w:tcW w:w="6260" w:type="dxa"/>
            <w:vAlign w:val="bottom"/>
            <w:gridSpan w:val="2"/>
          </w:tcPr>
          <w:p>
            <w:pPr>
              <w:spacing w:after="0"/>
              <w:rPr>
                <w:sz w:val="20"/>
                <w:szCs w:val="20"/>
                <w:color w:val="auto"/>
              </w:rPr>
            </w:pPr>
            <w:r>
              <w:rPr>
                <w:rFonts w:ascii="Arial" w:cs="Arial" w:eastAsia="Arial" w:hAnsi="Arial"/>
                <w:sz w:val="22"/>
                <w:szCs w:val="22"/>
                <w:b w:val="1"/>
                <w:bCs w:val="1"/>
                <w:color w:val="auto"/>
              </w:rPr>
              <w:t>ZURICH AMERICAN INSURANCE COMPANY</w:t>
            </w:r>
          </w:p>
        </w:tc>
      </w:tr>
      <w:tr>
        <w:trPr>
          <w:trHeight w:val="428"/>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Pr>
          <w:p>
            <w:pPr>
              <w:spacing w:after="0"/>
              <w:rPr>
                <w:sz w:val="20"/>
                <w:szCs w:val="20"/>
                <w:color w:val="auto"/>
              </w:rPr>
            </w:pPr>
            <w:r>
              <w:rPr>
                <w:rFonts w:ascii="Arial" w:cs="Arial" w:eastAsia="Arial" w:hAnsi="Arial"/>
                <w:sz w:val="22"/>
                <w:szCs w:val="22"/>
                <w:color w:val="auto"/>
                <w:w w:val="90"/>
              </w:rPr>
              <w:t>Prudential Private Placement Investors, L.P. (as Investment</w:t>
            </w:r>
          </w:p>
        </w:tc>
      </w:tr>
      <w:tr>
        <w:trPr>
          <w:trHeight w:val="275"/>
        </w:trPr>
        <w:tc>
          <w:tcPr>
            <w:tcW w:w="1000" w:type="dxa"/>
            <w:vAlign w:val="bottom"/>
          </w:tcPr>
          <w:p>
            <w:pPr>
              <w:spacing w:after="0"/>
              <w:rPr>
                <w:sz w:val="23"/>
                <w:szCs w:val="23"/>
                <w:color w:val="auto"/>
              </w:rPr>
            </w:pPr>
          </w:p>
        </w:tc>
        <w:tc>
          <w:tcPr>
            <w:tcW w:w="5260" w:type="dxa"/>
            <w:vAlign w:val="bottom"/>
          </w:tcPr>
          <w:p>
            <w:pPr>
              <w:spacing w:after="0"/>
              <w:rPr>
                <w:sz w:val="20"/>
                <w:szCs w:val="20"/>
                <w:color w:val="auto"/>
              </w:rPr>
            </w:pPr>
            <w:r>
              <w:rPr>
                <w:rFonts w:ascii="Arial" w:cs="Arial" w:eastAsia="Arial" w:hAnsi="Arial"/>
                <w:sz w:val="22"/>
                <w:szCs w:val="22"/>
                <w:color w:val="auto"/>
              </w:rPr>
              <w:t>Advisor)</w:t>
            </w:r>
          </w:p>
        </w:tc>
      </w:tr>
      <w:tr>
        <w:trPr>
          <w:trHeight w:val="428"/>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Pr>
          <w:p>
            <w:pPr>
              <w:spacing w:after="0"/>
              <w:rPr>
                <w:sz w:val="20"/>
                <w:szCs w:val="20"/>
                <w:color w:val="auto"/>
              </w:rPr>
            </w:pPr>
            <w:r>
              <w:rPr>
                <w:rFonts w:ascii="Arial" w:cs="Arial" w:eastAsia="Arial" w:hAnsi="Arial"/>
                <w:sz w:val="22"/>
                <w:szCs w:val="22"/>
                <w:color w:val="auto"/>
                <w:w w:val="90"/>
              </w:rPr>
              <w:t>Prudential Private Placement Investors, Inc. (as its General</w:t>
            </w:r>
          </w:p>
        </w:tc>
      </w:tr>
      <w:tr>
        <w:trPr>
          <w:trHeight w:val="275"/>
        </w:trPr>
        <w:tc>
          <w:tcPr>
            <w:tcW w:w="1000" w:type="dxa"/>
            <w:vAlign w:val="bottom"/>
          </w:tcPr>
          <w:p>
            <w:pPr>
              <w:spacing w:after="0"/>
              <w:rPr>
                <w:sz w:val="23"/>
                <w:szCs w:val="23"/>
                <w:color w:val="auto"/>
              </w:rPr>
            </w:pPr>
          </w:p>
        </w:tc>
        <w:tc>
          <w:tcPr>
            <w:tcW w:w="5260" w:type="dxa"/>
            <w:vAlign w:val="bottom"/>
          </w:tcPr>
          <w:p>
            <w:pPr>
              <w:spacing w:after="0"/>
              <w:rPr>
                <w:sz w:val="20"/>
                <w:szCs w:val="20"/>
                <w:color w:val="auto"/>
              </w:rPr>
            </w:pPr>
            <w:r>
              <w:rPr>
                <w:rFonts w:ascii="Arial" w:cs="Arial" w:eastAsia="Arial" w:hAnsi="Arial"/>
                <w:sz w:val="22"/>
                <w:szCs w:val="22"/>
                <w:color w:val="auto"/>
              </w:rPr>
              <w:t>Partner)</w:t>
            </w:r>
          </w:p>
        </w:tc>
      </w:tr>
      <w:tr>
        <w:trPr>
          <w:trHeight w:val="449"/>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Ashley Dexter</w:t>
            </w:r>
          </w:p>
        </w:tc>
      </w:tr>
      <w:tr>
        <w:trPr>
          <w:trHeight w:val="268"/>
        </w:trPr>
        <w:tc>
          <w:tcPr>
            <w:tcW w:w="1000" w:type="dxa"/>
            <w:vAlign w:val="bottom"/>
          </w:tcPr>
          <w:p>
            <w:pPr>
              <w:spacing w:after="0"/>
              <w:rPr>
                <w:sz w:val="23"/>
                <w:szCs w:val="23"/>
                <w:color w:val="auto"/>
              </w:rPr>
            </w:pPr>
          </w:p>
        </w:tc>
        <w:tc>
          <w:tcPr>
            <w:tcW w:w="5260" w:type="dxa"/>
            <w:vAlign w:val="bottom"/>
          </w:tcPr>
          <w:p>
            <w:pPr>
              <w:spacing w:after="0"/>
              <w:rPr>
                <w:sz w:val="20"/>
                <w:szCs w:val="20"/>
                <w:color w:val="auto"/>
              </w:rPr>
            </w:pPr>
            <w:r>
              <w:rPr>
                <w:rFonts w:ascii="Arial" w:cs="Arial" w:eastAsia="Arial" w:hAnsi="Arial"/>
                <w:sz w:val="22"/>
                <w:szCs w:val="22"/>
                <w:color w:val="auto"/>
              </w:rPr>
              <w:t>Vice President</w:t>
            </w:r>
          </w:p>
        </w:tc>
      </w:tr>
    </w:tbl>
    <w:p>
      <w:pPr>
        <w:spacing w:after="0" w:line="157" w:lineRule="exact"/>
        <w:rPr>
          <w:sz w:val="20"/>
          <w:szCs w:val="20"/>
          <w:color w:val="auto"/>
        </w:rPr>
      </w:pPr>
    </w:p>
    <w:p>
      <w:pPr>
        <w:ind w:left="3960" w:right="1060"/>
        <w:spacing w:after="0" w:line="256" w:lineRule="auto"/>
        <w:rPr>
          <w:sz w:val="20"/>
          <w:szCs w:val="20"/>
          <w:color w:val="auto"/>
        </w:rPr>
      </w:pPr>
      <w:r>
        <w:rPr>
          <w:rFonts w:ascii="Arial" w:cs="Arial" w:eastAsia="Arial" w:hAnsi="Arial"/>
          <w:sz w:val="22"/>
          <w:szCs w:val="22"/>
          <w:b w:val="1"/>
          <w:bCs w:val="1"/>
          <w:color w:val="auto"/>
        </w:rPr>
        <w:t>PRUDENTIAL RETIREMENT GUARANTEED COST BUSINESS TRUST</w:t>
      </w:r>
    </w:p>
    <w:p>
      <w:pPr>
        <w:spacing w:after="0" w:line="169" w:lineRule="exact"/>
        <w:rPr>
          <w:sz w:val="20"/>
          <w:szCs w:val="20"/>
          <w:color w:val="auto"/>
        </w:rPr>
      </w:pPr>
    </w:p>
    <w:tbl>
      <w:tblPr>
        <w:tblLayout w:type="fixed"/>
        <w:tblInd w:w="3960" w:type="dxa"/>
        <w:tblCellMar>
          <w:top w:w="0" w:type="dxa"/>
          <w:left w:w="0" w:type="dxa"/>
          <w:bottom w:w="0" w:type="dxa"/>
          <w:right w:w="0" w:type="dxa"/>
        </w:tblCellMar>
      </w:tblPr>
      <w:tr>
        <w:trPr>
          <w:trHeight w:val="27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Pr>
          <w:p>
            <w:pPr>
              <w:spacing w:after="0"/>
              <w:rPr>
                <w:sz w:val="20"/>
                <w:szCs w:val="20"/>
                <w:color w:val="auto"/>
              </w:rPr>
            </w:pPr>
            <w:r>
              <w:rPr>
                <w:rFonts w:ascii="Arial" w:cs="Arial" w:eastAsia="Arial" w:hAnsi="Arial"/>
                <w:sz w:val="22"/>
                <w:szCs w:val="22"/>
                <w:color w:val="auto"/>
              </w:rPr>
              <w:t>PGIM, Inc., as investment manager</w:t>
            </w:r>
          </w:p>
        </w:tc>
      </w:tr>
      <w:tr>
        <w:trPr>
          <w:trHeight w:val="449"/>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Ashley Dexter</w:t>
            </w:r>
          </w:p>
        </w:tc>
      </w:tr>
      <w:tr>
        <w:trPr>
          <w:trHeight w:val="268"/>
        </w:trPr>
        <w:tc>
          <w:tcPr>
            <w:tcW w:w="1000" w:type="dxa"/>
            <w:vAlign w:val="bottom"/>
          </w:tcPr>
          <w:p>
            <w:pPr>
              <w:spacing w:after="0"/>
              <w:rPr>
                <w:sz w:val="23"/>
                <w:szCs w:val="23"/>
                <w:color w:val="auto"/>
              </w:rPr>
            </w:pPr>
          </w:p>
        </w:tc>
        <w:tc>
          <w:tcPr>
            <w:tcW w:w="5260" w:type="dxa"/>
            <w:vAlign w:val="bottom"/>
          </w:tcPr>
          <w:p>
            <w:pPr>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SIGNATURE PAGE TO FIRST AMENDMENT TO</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NOTE PURCHASE AND PRIVATE SHELF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69215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22"/>
          <w:szCs w:val="22"/>
          <w:u w:val="single" w:color="auto"/>
          <w:color w:val="auto"/>
        </w:rPr>
        <w:t>SCHEDULE 6E</w:t>
      </w:r>
    </w:p>
    <w:p>
      <w:pPr>
        <w:spacing w:after="0" w:line="206"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PERMITTED INDEBTEDNESS</w:t>
      </w:r>
    </w:p>
    <w:p>
      <w:pPr>
        <w:spacing w:after="0" w:line="200" w:lineRule="exact"/>
        <w:rPr>
          <w:sz w:val="20"/>
          <w:szCs w:val="20"/>
          <w:color w:val="auto"/>
        </w:rPr>
      </w:pPr>
    </w:p>
    <w:p>
      <w:pPr>
        <w:spacing w:after="0" w:line="222" w:lineRule="exact"/>
        <w:rPr>
          <w:sz w:val="20"/>
          <w:szCs w:val="20"/>
          <w:color w:val="auto"/>
        </w:rPr>
      </w:pPr>
    </w:p>
    <w:p>
      <w:pPr>
        <w:jc w:val="both"/>
        <w:ind w:left="440" w:right="720" w:hanging="440"/>
        <w:spacing w:after="0"/>
        <w:tabs>
          <w:tab w:leader="none" w:pos="4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Lease Agreement, dated as of December 18, 2006, between the CCBCC Operations, LLC and Beacon Investment Corporation, related to the Company’s corporate headquarters and an adjacent office building in Charlotte, North Carolina.</w:t>
      </w:r>
    </w:p>
    <w:p>
      <w:pPr>
        <w:spacing w:after="0" w:line="186" w:lineRule="exact"/>
        <w:rPr>
          <w:rFonts w:ascii="Arial" w:cs="Arial" w:eastAsia="Arial" w:hAnsi="Arial"/>
          <w:sz w:val="22"/>
          <w:szCs w:val="22"/>
          <w:color w:val="auto"/>
        </w:rPr>
      </w:pPr>
    </w:p>
    <w:p>
      <w:pPr>
        <w:ind w:left="440" w:right="120" w:hanging="440"/>
        <w:spacing w:after="0"/>
        <w:tabs>
          <w:tab w:leader="none" w:pos="4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Lease Agreement, dated as of December 15, 2000, between the Company and Harrison Limited Partnership One, related to the Snyder Production Center in Charlotte, North Carolina and a distribution center adjacent thereto. The Company reserves the right to assign this lease to a Subsidiary.</w:t>
      </w:r>
    </w:p>
    <w:p>
      <w:pPr>
        <w:spacing w:after="0" w:line="186" w:lineRule="exact"/>
        <w:rPr>
          <w:rFonts w:ascii="Arial" w:cs="Arial" w:eastAsia="Arial" w:hAnsi="Arial"/>
          <w:sz w:val="22"/>
          <w:szCs w:val="22"/>
          <w:color w:val="auto"/>
        </w:rPr>
      </w:pPr>
    </w:p>
    <w:p>
      <w:pPr>
        <w:ind w:left="440" w:right="40" w:hanging="440"/>
        <w:spacing w:after="0"/>
        <w:tabs>
          <w:tab w:leader="none" w:pos="4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Lease Agreement, dated as of January 3, 2011, between the Company and Crown-Raleigh III, LLC, related to the Company’s sales distribution facility in Clayton, North Carolina. The Company reserves the right to assign this lease to a Subsidiary.</w:t>
      </w:r>
    </w:p>
    <w:p>
      <w:pPr>
        <w:spacing w:after="0" w:line="186" w:lineRule="exact"/>
        <w:rPr>
          <w:rFonts w:ascii="Arial" w:cs="Arial" w:eastAsia="Arial" w:hAnsi="Arial"/>
          <w:sz w:val="22"/>
          <w:szCs w:val="22"/>
          <w:color w:val="auto"/>
        </w:rPr>
      </w:pPr>
    </w:p>
    <w:p>
      <w:pPr>
        <w:ind w:left="440" w:right="20" w:hanging="440"/>
        <w:spacing w:after="0"/>
        <w:tabs>
          <w:tab w:leader="none" w:pos="4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Lease Agreement, dated as of January 13, 2011, between the Company and DCT Mid South Logistics V LP, related to the Company’s sales distribution facility in LaVergne, Tennessee. The Company reserves the right to assign this lease to a Subsidiary.</w:t>
      </w:r>
    </w:p>
    <w:p>
      <w:pPr>
        <w:spacing w:after="0" w:line="186" w:lineRule="exact"/>
        <w:rPr>
          <w:rFonts w:ascii="Arial" w:cs="Arial" w:eastAsia="Arial" w:hAnsi="Arial"/>
          <w:sz w:val="22"/>
          <w:szCs w:val="22"/>
          <w:color w:val="auto"/>
        </w:rPr>
      </w:pPr>
    </w:p>
    <w:p>
      <w:pPr>
        <w:ind w:left="440" w:right="160" w:hanging="440"/>
        <w:spacing w:after="0" w:line="251" w:lineRule="auto"/>
        <w:tabs>
          <w:tab w:leader="none" w:pos="4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Lease Agreement, dated as of June 11, 2015, between CCBCC Operations, LLC and CK-Childress Klein #8(A) Limited Partnership, related to the Company’s call center in Charlotte, North Carolina.</w:t>
      </w:r>
    </w:p>
    <w:p>
      <w:pPr>
        <w:spacing w:after="0" w:line="173" w:lineRule="exact"/>
        <w:rPr>
          <w:rFonts w:ascii="Arial" w:cs="Arial" w:eastAsia="Arial" w:hAnsi="Arial"/>
          <w:sz w:val="22"/>
          <w:szCs w:val="22"/>
          <w:color w:val="auto"/>
        </w:rPr>
      </w:pPr>
    </w:p>
    <w:p>
      <w:pPr>
        <w:ind w:left="440" w:right="340" w:hanging="440"/>
        <w:spacing w:after="0" w:line="251" w:lineRule="auto"/>
        <w:tabs>
          <w:tab w:leader="none" w:pos="4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Lease Agreement, dated as of October 28, 2016, between CCBCC Operations, LLC and Graham O’Kelly Partnership, related to the Company’s distribution facility in Bishopville, South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548005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577" w:right="239" w:bottom="1440" w:gutter="0" w:footer="0" w:header="0"/>
        </w:sectPr>
      </w:pPr>
    </w:p>
    <w:bookmarkStart w:id="13" w:name="page14"/>
    <w:bookmarkEnd w:id="13"/>
    <w:p>
      <w:pPr>
        <w:ind w:left="10300"/>
        <w:spacing w:after="0"/>
        <w:rPr>
          <w:sz w:val="20"/>
          <w:szCs w:val="20"/>
          <w:color w:val="auto"/>
        </w:rPr>
      </w:pPr>
      <w:r>
        <w:rPr>
          <w:rFonts w:ascii="Arial" w:cs="Arial" w:eastAsia="Arial" w:hAnsi="Arial"/>
          <w:sz w:val="22"/>
          <w:szCs w:val="22"/>
          <w:b w:val="1"/>
          <w:bCs w:val="1"/>
          <w:u w:val="single" w:color="auto"/>
          <w:color w:val="auto"/>
        </w:rPr>
        <w:t>EXHIBIT 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COMPLIANCE CERTIFICATE]</w:t>
      </w:r>
    </w:p>
    <w:p>
      <w:pPr>
        <w:spacing w:after="0" w:line="200" w:lineRule="exact"/>
        <w:rPr>
          <w:sz w:val="20"/>
          <w:szCs w:val="20"/>
          <w:color w:val="auto"/>
        </w:rPr>
      </w:pPr>
    </w:p>
    <w:p>
      <w:pPr>
        <w:spacing w:after="0" w:line="24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To:</w:t>
        <w:tab/>
        <w:t>[List Purchasers]</w:t>
      </w:r>
    </w:p>
    <w:p>
      <w:pPr>
        <w:spacing w:after="0" w:line="206" w:lineRule="exact"/>
        <w:rPr>
          <w:sz w:val="20"/>
          <w:szCs w:val="20"/>
          <w:color w:val="auto"/>
        </w:rPr>
      </w:pPr>
    </w:p>
    <w:p>
      <w:pPr>
        <w:jc w:val="both"/>
        <w:ind w:firstLine="1194"/>
        <w:spacing w:after="0" w:line="249" w:lineRule="auto"/>
        <w:rPr>
          <w:sz w:val="20"/>
          <w:szCs w:val="20"/>
          <w:color w:val="auto"/>
        </w:rPr>
      </w:pPr>
      <w:r>
        <w:rPr>
          <w:rFonts w:ascii="Arial" w:cs="Arial" w:eastAsia="Arial" w:hAnsi="Arial"/>
          <w:sz w:val="21"/>
          <w:szCs w:val="21"/>
          <w:color w:val="auto"/>
        </w:rPr>
        <w:t>This Compliance Certificate is furnished pursuant to that certain Note Purchase and Private Shelf Agreement dated as of June 10, 2016 (as amended, modified, renewed or extended from time to time, the “</w:t>
      </w:r>
      <w:r>
        <w:rPr>
          <w:rFonts w:ascii="Arial" w:cs="Arial" w:eastAsia="Arial" w:hAnsi="Arial"/>
          <w:sz w:val="21"/>
          <w:szCs w:val="21"/>
          <w:b w:val="1"/>
          <w:bCs w:val="1"/>
          <w:color w:val="auto"/>
        </w:rPr>
        <w:t>Agreement</w:t>
      </w:r>
      <w:r>
        <w:rPr>
          <w:rFonts w:ascii="Arial" w:cs="Arial" w:eastAsia="Arial" w:hAnsi="Arial"/>
          <w:sz w:val="21"/>
          <w:szCs w:val="21"/>
          <w:color w:val="auto"/>
        </w:rPr>
        <w:t>”) between COCA-COLA BOTTLING CO. CONSOLIDATED (the “</w:t>
      </w:r>
      <w:r>
        <w:rPr>
          <w:rFonts w:ascii="Arial" w:cs="Arial" w:eastAsia="Arial" w:hAnsi="Arial"/>
          <w:sz w:val="21"/>
          <w:szCs w:val="21"/>
          <w:b w:val="1"/>
          <w:bCs w:val="1"/>
          <w:color w:val="auto"/>
        </w:rPr>
        <w:t>Company</w:t>
      </w:r>
      <w:r>
        <w:rPr>
          <w:rFonts w:ascii="Arial" w:cs="Arial" w:eastAsia="Arial" w:hAnsi="Arial"/>
          <w:sz w:val="21"/>
          <w:szCs w:val="21"/>
          <w:color w:val="auto"/>
        </w:rPr>
        <w:t>”), on the one hand, and PGIM, Inc. (“</w:t>
      </w:r>
      <w:r>
        <w:rPr>
          <w:rFonts w:ascii="Arial" w:cs="Arial" w:eastAsia="Arial" w:hAnsi="Arial"/>
          <w:sz w:val="21"/>
          <w:szCs w:val="21"/>
          <w:b w:val="1"/>
          <w:bCs w:val="1"/>
          <w:color w:val="auto"/>
        </w:rPr>
        <w:t>Prudential</w:t>
      </w:r>
      <w:r>
        <w:rPr>
          <w:rFonts w:ascii="Arial" w:cs="Arial" w:eastAsia="Arial" w:hAnsi="Arial"/>
          <w:sz w:val="21"/>
          <w:szCs w:val="21"/>
          <w:color w:val="auto"/>
        </w:rPr>
        <w:t>”) and each Prudential Affiliate which becomes party thereto, on the other hand. Unless otherwise defined herein, capitalized terms used in this Compliance Certificate have the meanings ascribed thereto in the Agreement.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HEREBY CERTIFIES THAT:</w:t>
      </w:r>
    </w:p>
    <w:p>
      <w:pPr>
        <w:spacing w:after="0" w:line="206" w:lineRule="exact"/>
        <w:rPr>
          <w:sz w:val="20"/>
          <w:szCs w:val="20"/>
          <w:color w:val="auto"/>
        </w:rPr>
      </w:pPr>
    </w:p>
    <w:p>
      <w:pPr>
        <w:ind w:left="820" w:hanging="214"/>
        <w:spacing w:after="0"/>
        <w:tabs>
          <w:tab w:leader="none" w:pos="8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I am the duly elected [_________]</w:t>
      </w:r>
      <w:r>
        <w:rPr>
          <w:rFonts w:ascii="Arial" w:cs="Arial" w:eastAsia="Arial" w:hAnsi="Arial"/>
          <w:sz w:val="18"/>
          <w:szCs w:val="18"/>
          <w:color w:val="auto"/>
        </w:rPr>
        <w:t>1</w:t>
      </w:r>
      <w:r>
        <w:rPr>
          <w:rFonts w:ascii="Arial" w:cs="Arial" w:eastAsia="Arial" w:hAnsi="Arial"/>
          <w:sz w:val="22"/>
          <w:szCs w:val="22"/>
          <w:color w:val="auto"/>
        </w:rPr>
        <w:t xml:space="preserve"> of the Company;</w:t>
      </w:r>
    </w:p>
    <w:p>
      <w:pPr>
        <w:spacing w:after="0" w:line="206" w:lineRule="exact"/>
        <w:rPr>
          <w:rFonts w:ascii="Arial" w:cs="Arial" w:eastAsia="Arial" w:hAnsi="Arial"/>
          <w:sz w:val="22"/>
          <w:szCs w:val="22"/>
          <w:color w:val="auto"/>
        </w:rPr>
      </w:pPr>
    </w:p>
    <w:p>
      <w:pPr>
        <w:jc w:val="both"/>
        <w:ind w:firstLine="606"/>
        <w:spacing w:after="0"/>
        <w:tabs>
          <w:tab w:leader="none" w:pos="816" w:val="left"/>
        </w:tabs>
        <w:numPr>
          <w:ilvl w:val="0"/>
          <w:numId w:val="23"/>
        </w:numPr>
        <w:rPr>
          <w:rFonts w:ascii="Arial" w:cs="Arial" w:eastAsia="Arial" w:hAnsi="Arial"/>
          <w:sz w:val="22"/>
          <w:szCs w:val="22"/>
          <w:color w:val="auto"/>
        </w:rPr>
      </w:pPr>
      <w:r>
        <w:rPr>
          <w:rFonts w:ascii="Arial" w:cs="Arial" w:eastAsia="Arial" w:hAnsi="Arial"/>
          <w:sz w:val="22"/>
          <w:szCs w:val="22"/>
          <w:color w:val="auto"/>
        </w:rPr>
        <w:t>I have reviewed the terms of the Agreement and I have made, or have caused to be made under my supervision, a detailed review of the transactions and conditions of the Company and its Subsidiaries during the accounting period covered by the attached financial statements;</w:t>
      </w:r>
    </w:p>
    <w:p>
      <w:pPr>
        <w:spacing w:after="0" w:line="186" w:lineRule="exact"/>
        <w:rPr>
          <w:rFonts w:ascii="Arial" w:cs="Arial" w:eastAsia="Arial" w:hAnsi="Arial"/>
          <w:sz w:val="22"/>
          <w:szCs w:val="22"/>
          <w:color w:val="auto"/>
        </w:rPr>
      </w:pPr>
    </w:p>
    <w:p>
      <w:pPr>
        <w:jc w:val="both"/>
        <w:ind w:right="20" w:firstLine="606"/>
        <w:spacing w:after="0"/>
        <w:tabs>
          <w:tab w:leader="none" w:pos="814"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examinations described in paragraph 2 did not disclose, and I have no knowledge of, the existence of any condition or event which constitutes a Default or an Event of Default during or at the end of the accounting period covered by the attached financial statements or as of the date of this Certificate, except as set forth below; and</w:t>
      </w:r>
    </w:p>
    <w:p>
      <w:pPr>
        <w:spacing w:after="0" w:line="186" w:lineRule="exact"/>
        <w:rPr>
          <w:rFonts w:ascii="Arial" w:cs="Arial" w:eastAsia="Arial" w:hAnsi="Arial"/>
          <w:sz w:val="22"/>
          <w:szCs w:val="22"/>
          <w:color w:val="auto"/>
        </w:rPr>
      </w:pPr>
    </w:p>
    <w:p>
      <w:pPr>
        <w:ind w:firstLine="606"/>
        <w:spacing w:after="0" w:line="251" w:lineRule="auto"/>
        <w:tabs>
          <w:tab w:leader="none" w:pos="824" w:val="left"/>
        </w:tabs>
        <w:numPr>
          <w:ilvl w:val="0"/>
          <w:numId w:val="23"/>
        </w:numPr>
        <w:rPr>
          <w:rFonts w:ascii="Arial" w:cs="Arial" w:eastAsia="Arial" w:hAnsi="Arial"/>
          <w:sz w:val="22"/>
          <w:szCs w:val="22"/>
          <w:color w:val="auto"/>
        </w:rPr>
      </w:pPr>
      <w:r>
        <w:rPr>
          <w:rFonts w:ascii="Arial" w:cs="Arial" w:eastAsia="Arial" w:hAnsi="Arial"/>
          <w:sz w:val="22"/>
          <w:szCs w:val="22"/>
          <w:color w:val="auto"/>
        </w:rPr>
        <w:t>Schedule I attached hereto sets forth financial data and computations evidencing the Company’s compliance with certain covenants of the Agreement, all of which data and computations are true, complete and correct.</w:t>
      </w:r>
    </w:p>
    <w:p>
      <w:pPr>
        <w:spacing w:after="0" w:line="173" w:lineRule="exact"/>
        <w:rPr>
          <w:sz w:val="20"/>
          <w:szCs w:val="20"/>
          <w:color w:val="auto"/>
        </w:rPr>
      </w:pPr>
    </w:p>
    <w:p>
      <w:pPr>
        <w:jc w:val="both"/>
        <w:ind w:firstLine="598"/>
        <w:spacing w:after="0"/>
        <w:rPr>
          <w:sz w:val="20"/>
          <w:szCs w:val="20"/>
          <w:color w:val="auto"/>
        </w:rPr>
      </w:pPr>
      <w:r>
        <w:rPr>
          <w:rFonts w:ascii="Arial" w:cs="Arial" w:eastAsia="Arial" w:hAnsi="Arial"/>
          <w:sz w:val="22"/>
          <w:szCs w:val="22"/>
          <w:color w:val="auto"/>
        </w:rPr>
        <w:t>Described below are the exceptions, if any, to paragraph 3 by listing, in detail, the nature of the condition or event, the period during which it has existed and the action which the Company has taken, is taking, or proposes to take with respect to each such condition or event:</w:t>
      </w:r>
    </w:p>
    <w:p>
      <w:pPr>
        <w:spacing w:after="0" w:line="186"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21"/>
          <w:szCs w:val="21"/>
          <w:color w:val="auto"/>
        </w:rPr>
        <w:t>The foregoing certifications, together with the computations set forth in Schedule I hereto and the financial statements delivered with this Certificate in support hereof, are made and delivered this [____] day of [________], 20[__].</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follow]</w:t>
      </w:r>
    </w:p>
    <w:p>
      <w:pPr>
        <w:spacing w:after="0" w:line="159"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15"/>
          <w:szCs w:val="15"/>
          <w:color w:val="auto"/>
        </w:rPr>
      </w:pPr>
      <w:r>
        <w:rPr>
          <w:rFonts w:ascii="Arial" w:cs="Arial" w:eastAsia="Arial" w:hAnsi="Arial"/>
          <w:sz w:val="18"/>
          <w:szCs w:val="18"/>
          <w:color w:val="auto"/>
        </w:rPr>
        <w:t>To be a Responsible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490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302260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4" w:name="page15"/>
    <w:bookmarkEnd w:id="14"/>
    <w:p>
      <w:pPr>
        <w:ind w:left="3960"/>
        <w:spacing w:after="0"/>
        <w:rPr>
          <w:sz w:val="20"/>
          <w:szCs w:val="20"/>
          <w:color w:val="auto"/>
        </w:rPr>
      </w:pPr>
      <w:r>
        <w:rPr>
          <w:rFonts w:ascii="Arial" w:cs="Arial" w:eastAsia="Arial" w:hAnsi="Arial"/>
          <w:sz w:val="21"/>
          <w:szCs w:val="21"/>
          <w:b w:val="1"/>
          <w:bCs w:val="1"/>
          <w:color w:val="auto"/>
        </w:rPr>
        <w:t>COCA-COLA BOTTLING CO. CONSOLIDATED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7620</wp:posOffset>
            </wp:positionV>
            <wp:extent cx="33445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 w:lineRule="exact"/>
        <w:rPr>
          <w:sz w:val="20"/>
          <w:szCs w:val="20"/>
          <w:color w:val="auto"/>
        </w:rPr>
      </w:pPr>
    </w:p>
    <w:p>
      <w:pPr>
        <w:ind w:left="4960"/>
        <w:spacing w:after="0"/>
        <w:tabs>
          <w:tab w:leader="none" w:pos="72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3190875</wp:posOffset>
            </wp:positionH>
            <wp:positionV relativeFrom="paragraph">
              <wp:posOffset>-29210</wp:posOffset>
            </wp:positionV>
            <wp:extent cx="14408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15" w:name="page16"/>
    <w:bookmarkEnd w:id="15"/>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 AMENDMENT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NOTE PURCHASE AND PRIVATE SHELF AGREEMENT</w:t>
      </w:r>
    </w:p>
    <w:p>
      <w:pPr>
        <w:spacing w:after="0" w:line="182"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auto"/>
        </w:rPr>
        <w:t xml:space="preserve">THIS FIRST AMENDMENT TO NOTE PURCHASE AND PRIVATE SHELF AGREEMENT </w:t>
      </w:r>
      <w:r>
        <w:rPr>
          <w:rFonts w:ascii="Arial" w:cs="Arial" w:eastAsia="Arial" w:hAnsi="Arial"/>
          <w:sz w:val="22"/>
          <w:szCs w:val="22"/>
          <w:color w:val="auto"/>
        </w:rPr>
        <w:t>(this</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Amendment</w:t>
      </w:r>
      <w:r>
        <w:rPr>
          <w:rFonts w:ascii="Arial" w:cs="Arial" w:eastAsia="Arial" w:hAnsi="Arial"/>
          <w:sz w:val="22"/>
          <w:szCs w:val="22"/>
          <w:color w:val="auto"/>
        </w:rPr>
        <w:t xml:space="preserve">”), is made and entered into as of July 20, 2018, by and among </w:t>
      </w:r>
      <w:r>
        <w:rPr>
          <w:rFonts w:ascii="Arial" w:cs="Arial" w:eastAsia="Arial" w:hAnsi="Arial"/>
          <w:sz w:val="22"/>
          <w:szCs w:val="22"/>
          <w:b w:val="1"/>
          <w:bCs w:val="1"/>
          <w:color w:val="auto"/>
        </w:rPr>
        <w:t>COCA-COLA BOTTLING CO.</w:t>
      </w:r>
      <w:r>
        <w:rPr>
          <w:rFonts w:ascii="Arial" w:cs="Arial" w:eastAsia="Arial" w:hAnsi="Arial"/>
          <w:sz w:val="22"/>
          <w:szCs w:val="22"/>
          <w:color w:val="auto"/>
        </w:rPr>
        <w:t xml:space="preserve"> </w:t>
      </w:r>
      <w:r>
        <w:rPr>
          <w:rFonts w:ascii="Arial" w:cs="Arial" w:eastAsia="Arial" w:hAnsi="Arial"/>
          <w:sz w:val="22"/>
          <w:szCs w:val="22"/>
          <w:b w:val="1"/>
          <w:bCs w:val="1"/>
          <w:color w:val="auto"/>
        </w:rPr>
        <w:t>CONSOLIDATED</w:t>
      </w:r>
      <w:r>
        <w:rPr>
          <w:rFonts w:ascii="Arial" w:cs="Arial" w:eastAsia="Arial" w:hAnsi="Arial"/>
          <w:sz w:val="22"/>
          <w:szCs w:val="22"/>
          <w:color w:val="auto"/>
        </w:rPr>
        <w:t>,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NYL Investors LLC (“</w:t>
      </w:r>
      <w:r>
        <w:rPr>
          <w:rFonts w:ascii="Arial" w:cs="Arial" w:eastAsia="Arial" w:hAnsi="Arial"/>
          <w:sz w:val="22"/>
          <w:szCs w:val="22"/>
          <w:b w:val="1"/>
          <w:bCs w:val="1"/>
          <w:i w:val="1"/>
          <w:iCs w:val="1"/>
          <w:color w:val="auto"/>
        </w:rPr>
        <w:t>New York Life</w:t>
      </w:r>
      <w:r>
        <w:rPr>
          <w:rFonts w:ascii="Arial" w:cs="Arial" w:eastAsia="Arial" w:hAnsi="Arial"/>
          <w:sz w:val="22"/>
          <w:szCs w:val="22"/>
          <w:color w:val="auto"/>
        </w:rPr>
        <w:t>”) and the holders of Notes</w:t>
      </w:r>
      <w:r>
        <w:rPr>
          <w:rFonts w:ascii="Arial" w:cs="Arial" w:eastAsia="Arial" w:hAnsi="Arial"/>
          <w:sz w:val="22"/>
          <w:szCs w:val="22"/>
          <w:b w:val="1"/>
          <w:bCs w:val="1"/>
          <w:color w:val="auto"/>
        </w:rPr>
        <w:t xml:space="preserve"> </w:t>
      </w:r>
      <w:r>
        <w:rPr>
          <w:rFonts w:ascii="Arial" w:cs="Arial" w:eastAsia="Arial" w:hAnsi="Arial"/>
          <w:sz w:val="22"/>
          <w:szCs w:val="22"/>
          <w:color w:val="auto"/>
        </w:rPr>
        <w:t>(as defined in the Note Agreement defined below) that are signatories hereto (such holders, together with their successors and assigns, the “</w:t>
      </w:r>
      <w:r>
        <w:rPr>
          <w:rFonts w:ascii="Arial" w:cs="Arial" w:eastAsia="Arial" w:hAnsi="Arial"/>
          <w:sz w:val="22"/>
          <w:szCs w:val="22"/>
          <w:b w:val="1"/>
          <w:bCs w:val="1"/>
          <w:i w:val="1"/>
          <w:iCs w:val="1"/>
          <w:color w:val="auto"/>
        </w:rPr>
        <w:t>Noteholders</w:t>
      </w:r>
      <w:r>
        <w:rPr>
          <w:rFonts w:ascii="Arial" w:cs="Arial" w:eastAsia="Arial" w:hAnsi="Arial"/>
          <w:sz w:val="22"/>
          <w:szCs w:val="22"/>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 I T N E S S E T H</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877"/>
        <w:spacing w:after="0" w:line="282" w:lineRule="auto"/>
        <w:rPr>
          <w:sz w:val="20"/>
          <w:szCs w:val="20"/>
          <w:color w:val="auto"/>
        </w:rPr>
      </w:pPr>
      <w:r>
        <w:rPr>
          <w:rFonts w:ascii="Arial" w:cs="Arial" w:eastAsia="Arial" w:hAnsi="Arial"/>
          <w:sz w:val="19"/>
          <w:szCs w:val="19"/>
          <w:color w:val="auto"/>
        </w:rPr>
        <w:t>WHEREAS, the Company, New York Life and the Purchasers (as defined in the Note Agreement defined below) are parties to a certain Note Purchase and Private Shelf Agreement, dated as of March 6, 2018 (as amended, restated, supplemented or otherwise modified from time to time, the “</w:t>
      </w:r>
      <w:r>
        <w:rPr>
          <w:rFonts w:ascii="Arial" w:cs="Arial" w:eastAsia="Arial" w:hAnsi="Arial"/>
          <w:sz w:val="19"/>
          <w:szCs w:val="19"/>
          <w:b w:val="1"/>
          <w:bCs w:val="1"/>
          <w:i w:val="1"/>
          <w:iCs w:val="1"/>
          <w:color w:val="auto"/>
        </w:rPr>
        <w:t>Note Agreement</w:t>
      </w:r>
      <w:r>
        <w:rPr>
          <w:rFonts w:ascii="Arial" w:cs="Arial" w:eastAsia="Arial" w:hAnsi="Arial"/>
          <w:sz w:val="19"/>
          <w:szCs w:val="19"/>
          <w:color w:val="auto"/>
        </w:rPr>
        <w:t>”; capitalized terms used herein and not otherwise defined shall have the meanings assigned to such terms in the Note Agreement), pursuant to which the Purchasers purchased $150,000,000 in aggregate principal amount of the Company’s 3.96% Senior Notes, Series A, due March 21, 2030 (the “</w:t>
      </w:r>
      <w:r>
        <w:rPr>
          <w:rFonts w:ascii="Arial" w:cs="Arial" w:eastAsia="Arial" w:hAnsi="Arial"/>
          <w:sz w:val="19"/>
          <w:szCs w:val="19"/>
          <w:b w:val="1"/>
          <w:bCs w:val="1"/>
          <w:i w:val="1"/>
          <w:iCs w:val="1"/>
          <w:color w:val="auto"/>
        </w:rPr>
        <w:t>Series A Notes</w:t>
      </w:r>
      <w:r>
        <w:rPr>
          <w:rFonts w:ascii="Arial" w:cs="Arial" w:eastAsia="Arial" w:hAnsi="Arial"/>
          <w:sz w:val="19"/>
          <w:szCs w:val="19"/>
          <w:color w:val="auto"/>
        </w:rPr>
        <w:t>”);</w:t>
      </w:r>
    </w:p>
    <w:p>
      <w:pPr>
        <w:spacing w:after="0" w:line="148"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WHERAS, the Series A Notes are the only Notes currently outstanding under the Note Agreement and the Noteholders are the holders of 100% of the Series A Notes;</w:t>
      </w:r>
    </w:p>
    <w:p>
      <w:pPr>
        <w:spacing w:after="0" w:line="173"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WHEREAS, the Company has requested that the Noteholders amend certain provisions of the Note Agreement, and subject to the terms and conditions hereof, the Noteholders are willing to amend the Note Agreement in the respects but only in the respects set forth below;</w:t>
      </w:r>
    </w:p>
    <w:p>
      <w:pPr>
        <w:spacing w:after="0" w:line="186" w:lineRule="exact"/>
        <w:rPr>
          <w:sz w:val="20"/>
          <w:szCs w:val="20"/>
          <w:color w:val="auto"/>
        </w:rPr>
      </w:pPr>
    </w:p>
    <w:p>
      <w:pPr>
        <w:jc w:val="both"/>
        <w:ind w:right="20" w:firstLine="877"/>
        <w:spacing w:after="0" w:line="251" w:lineRule="auto"/>
        <w:rPr>
          <w:sz w:val="20"/>
          <w:szCs w:val="20"/>
          <w:color w:val="auto"/>
        </w:rPr>
      </w:pPr>
      <w:r>
        <w:rPr>
          <w:rFonts w:ascii="Arial" w:cs="Arial" w:eastAsia="Arial" w:hAnsi="Arial"/>
          <w:sz w:val="22"/>
          <w:szCs w:val="22"/>
          <w:color w:val="auto"/>
        </w:rPr>
        <w:t>NOW, THEREFORE, for good and valuable consideration, the sufficiency and receipt of all of which are hereby acknowledged, the Company and the Noteholders agree as follows:</w:t>
      </w:r>
    </w:p>
    <w:p>
      <w:pPr>
        <w:spacing w:after="0" w:line="167" w:lineRule="exact"/>
        <w:rPr>
          <w:sz w:val="20"/>
          <w:szCs w:val="20"/>
          <w:color w:val="auto"/>
        </w:rPr>
      </w:pPr>
    </w:p>
    <w:p>
      <w:pPr>
        <w:ind w:left="1700" w:hanging="815"/>
        <w:spacing w:after="0"/>
        <w:tabs>
          <w:tab w:leader="none" w:pos="1700" w:val="left"/>
        </w:tabs>
        <w:numPr>
          <w:ilvl w:val="0"/>
          <w:numId w:val="25"/>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w:t>
      </w:r>
      <w:r>
        <w:rPr>
          <w:rFonts w:ascii="Arial" w:cs="Arial" w:eastAsia="Arial" w:hAnsi="Arial"/>
          <w:sz w:val="22"/>
          <w:szCs w:val="22"/>
          <w:color w:val="auto"/>
        </w:rPr>
        <w:t>.</w:t>
      </w:r>
    </w:p>
    <w:p>
      <w:pPr>
        <w:spacing w:after="0" w:line="212" w:lineRule="exact"/>
        <w:rPr>
          <w:sz w:val="20"/>
          <w:szCs w:val="20"/>
          <w:color w:val="auto"/>
        </w:rPr>
      </w:pPr>
    </w:p>
    <w:p>
      <w:pPr>
        <w:ind w:left="1780" w:hanging="895"/>
        <w:spacing w:after="0"/>
        <w:tabs>
          <w:tab w:leader="none" w:pos="1780" w:val="left"/>
        </w:tabs>
        <w:numPr>
          <w:ilvl w:val="0"/>
          <w:numId w:val="26"/>
        </w:numPr>
        <w:rPr>
          <w:rFonts w:ascii="Arial" w:cs="Arial" w:eastAsia="Arial" w:hAnsi="Arial"/>
          <w:sz w:val="19"/>
          <w:szCs w:val="19"/>
          <w:color w:val="auto"/>
        </w:rPr>
      </w:pPr>
      <w:r>
        <w:rPr>
          <w:rFonts w:ascii="Arial" w:cs="Arial" w:eastAsia="Arial" w:hAnsi="Arial"/>
          <w:sz w:val="19"/>
          <w:szCs w:val="19"/>
          <w:color w:val="auto"/>
        </w:rPr>
        <w:t>Paragraph 5E of the Note Agreement is hereby amended by replacing such Paragraph in its entirety with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following:</w:t>
      </w:r>
    </w:p>
    <w:p>
      <w:pPr>
        <w:spacing w:after="0" w:line="182" w:lineRule="exact"/>
        <w:rPr>
          <w:sz w:val="20"/>
          <w:szCs w:val="20"/>
          <w:color w:val="auto"/>
        </w:rPr>
      </w:pPr>
    </w:p>
    <w:p>
      <w:pPr>
        <w:jc w:val="both"/>
        <w:ind w:left="880" w:right="880" w:firstLine="743"/>
        <w:spacing w:after="0" w:line="237" w:lineRule="auto"/>
        <w:rPr>
          <w:sz w:val="20"/>
          <w:szCs w:val="20"/>
          <w:color w:val="auto"/>
        </w:rPr>
      </w:pPr>
      <w:r>
        <w:rPr>
          <w:rFonts w:ascii="Arial" w:cs="Arial" w:eastAsia="Arial" w:hAnsi="Arial"/>
          <w:sz w:val="22"/>
          <w:szCs w:val="22"/>
          <w:color w:val="auto"/>
        </w:rPr>
        <w:t xml:space="preserve">5E. </w:t>
      </w:r>
      <w:r>
        <w:rPr>
          <w:rFonts w:ascii="Arial" w:cs="Arial" w:eastAsia="Arial" w:hAnsi="Arial"/>
          <w:sz w:val="22"/>
          <w:szCs w:val="22"/>
          <w:b w:val="1"/>
          <w:bCs w:val="1"/>
          <w:color w:val="auto"/>
        </w:rPr>
        <w:t>Taxes</w:t>
      </w:r>
      <w:r>
        <w:rPr>
          <w:rFonts w:ascii="Arial" w:cs="Arial" w:eastAsia="Arial" w:hAnsi="Arial"/>
          <w:sz w:val="22"/>
          <w:szCs w:val="22"/>
          <w:color w:val="auto"/>
        </w:rPr>
        <w:t>. The Company will, and will cause each Subsidiary to, pay when due all taxes, duties, imposts, deductions, assessments, fees and governmental charges, withholdings and levies upon it or its income, profits or Property, except those which are being contested in good faith by appropriate proceedings and with respect to which adequate reserves have been set aside and except where such failure would not reasonably be expected to have a Material Adverse Effect.</w:t>
      </w:r>
    </w:p>
    <w:p>
      <w:pPr>
        <w:spacing w:after="0" w:line="189" w:lineRule="exact"/>
        <w:rPr>
          <w:sz w:val="20"/>
          <w:szCs w:val="20"/>
          <w:color w:val="auto"/>
        </w:rPr>
      </w:pPr>
    </w:p>
    <w:p>
      <w:pPr>
        <w:ind w:left="1780" w:hanging="895"/>
        <w:spacing w:after="0"/>
        <w:tabs>
          <w:tab w:leader="none" w:pos="1780" w:val="left"/>
        </w:tabs>
        <w:numPr>
          <w:ilvl w:val="0"/>
          <w:numId w:val="27"/>
        </w:numPr>
        <w:rPr>
          <w:rFonts w:ascii="Arial" w:cs="Arial" w:eastAsia="Arial" w:hAnsi="Arial"/>
          <w:sz w:val="19"/>
          <w:szCs w:val="19"/>
          <w:color w:val="auto"/>
        </w:rPr>
      </w:pPr>
      <w:r>
        <w:rPr>
          <w:rFonts w:ascii="Arial" w:cs="Arial" w:eastAsia="Arial" w:hAnsi="Arial"/>
          <w:sz w:val="19"/>
          <w:szCs w:val="19"/>
          <w:color w:val="auto"/>
        </w:rPr>
        <w:t>Paragraph 5K of the Note Agreement is hereby amended by replacing such Paragraph in its entirety with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 w:name="page17"/>
    <w:bookmarkEnd w:id="16"/>
    <w:p>
      <w:pPr>
        <w:jc w:val="both"/>
        <w:ind w:left="860" w:right="880" w:firstLine="743"/>
        <w:spacing w:after="0" w:line="243" w:lineRule="auto"/>
        <w:rPr>
          <w:sz w:val="20"/>
          <w:szCs w:val="20"/>
          <w:color w:val="auto"/>
        </w:rPr>
      </w:pPr>
      <w:r>
        <w:rPr>
          <w:rFonts w:ascii="Arial" w:cs="Arial" w:eastAsia="Arial" w:hAnsi="Arial"/>
          <w:sz w:val="22"/>
          <w:szCs w:val="22"/>
          <w:color w:val="auto"/>
        </w:rPr>
        <w:t xml:space="preserve">5K. </w:t>
      </w:r>
      <w:r>
        <w:rPr>
          <w:rFonts w:ascii="Arial" w:cs="Arial" w:eastAsia="Arial" w:hAnsi="Arial"/>
          <w:sz w:val="22"/>
          <w:szCs w:val="22"/>
          <w:b w:val="1"/>
          <w:bCs w:val="1"/>
          <w:color w:val="auto"/>
        </w:rPr>
        <w:t>Payment of Claims.</w:t>
      </w:r>
      <w:r>
        <w:rPr>
          <w:rFonts w:ascii="Arial" w:cs="Arial" w:eastAsia="Arial" w:hAnsi="Arial"/>
          <w:sz w:val="22"/>
          <w:szCs w:val="22"/>
          <w:color w:val="auto"/>
        </w:rPr>
        <w:t xml:space="preserve"> The Company will, and will cause each Subsidiary to, pay or discharge any of the following claims and liabilities which are material to the Company and its Subsidiaries when taken as a whole:</w:t>
      </w:r>
    </w:p>
    <w:p>
      <w:pPr>
        <w:spacing w:after="0" w:line="400" w:lineRule="exact"/>
        <w:rPr>
          <w:sz w:val="20"/>
          <w:szCs w:val="20"/>
          <w:color w:val="auto"/>
        </w:rPr>
      </w:pPr>
    </w:p>
    <w:p>
      <w:pPr>
        <w:jc w:val="both"/>
        <w:ind w:left="860" w:right="880" w:firstLine="1491"/>
        <w:spacing w:after="0"/>
        <w:tabs>
          <w:tab w:leader="none" w:pos="2699" w:val="left"/>
        </w:tabs>
        <w:numPr>
          <w:ilvl w:val="0"/>
          <w:numId w:val="28"/>
        </w:numPr>
        <w:rPr>
          <w:rFonts w:ascii="Arial" w:cs="Arial" w:eastAsia="Arial" w:hAnsi="Arial"/>
          <w:sz w:val="22"/>
          <w:szCs w:val="22"/>
          <w:color w:val="auto"/>
        </w:rPr>
      </w:pPr>
      <w:r>
        <w:rPr>
          <w:rFonts w:ascii="Arial" w:cs="Arial" w:eastAsia="Arial" w:hAnsi="Arial"/>
          <w:sz w:val="22"/>
          <w:szCs w:val="22"/>
          <w:color w:val="auto"/>
        </w:rPr>
        <w:t>on or prior to the date when due, all lawful claims of materialmen, mechanics, carriers, warehousemen, landlords and other like Persons which, if unpaid, might result in the creation of a Lien upon any such Property; and</w:t>
      </w:r>
    </w:p>
    <w:p>
      <w:pPr>
        <w:spacing w:after="0" w:line="186" w:lineRule="exact"/>
        <w:rPr>
          <w:rFonts w:ascii="Arial" w:cs="Arial" w:eastAsia="Arial" w:hAnsi="Arial"/>
          <w:sz w:val="22"/>
          <w:szCs w:val="22"/>
          <w:color w:val="auto"/>
        </w:rPr>
      </w:pPr>
    </w:p>
    <w:p>
      <w:pPr>
        <w:jc w:val="both"/>
        <w:ind w:left="860" w:right="880" w:firstLine="1491"/>
        <w:spacing w:after="0" w:line="282" w:lineRule="auto"/>
        <w:tabs>
          <w:tab w:leader="none" w:pos="2733" w:val="left"/>
        </w:tabs>
        <w:numPr>
          <w:ilvl w:val="0"/>
          <w:numId w:val="28"/>
        </w:numPr>
        <w:rPr>
          <w:rFonts w:ascii="Arial" w:cs="Arial" w:eastAsia="Arial" w:hAnsi="Arial"/>
          <w:sz w:val="19"/>
          <w:szCs w:val="19"/>
          <w:color w:val="auto"/>
        </w:rPr>
      </w:pPr>
      <w:r>
        <w:rPr>
          <w:rFonts w:ascii="Arial" w:cs="Arial" w:eastAsia="Arial" w:hAnsi="Arial"/>
          <w:sz w:val="19"/>
          <w:szCs w:val="19"/>
          <w:color w:val="auto"/>
        </w:rPr>
        <w:t>on or prior to the date when due, all other lawful claims which, if unpaid, might result in the creation of a Lien upon any such Property (other than Liens not forbidden by paragraph 6B hereof) or which, if unpaid, might give rise to a claim entitled to priority over general creditors of the Company or such Subsidiary in a case under Title 11 (Bankruptcy) of the United States Code, as amended, or in any insolvency proceeding or dissolution or winding-up involving the Company or such Subsidiary;</w:t>
      </w:r>
    </w:p>
    <w:p>
      <w:pPr>
        <w:spacing w:after="0" w:line="148" w:lineRule="exact"/>
        <w:rPr>
          <w:sz w:val="20"/>
          <w:szCs w:val="20"/>
          <w:color w:val="auto"/>
        </w:rPr>
      </w:pPr>
    </w:p>
    <w:p>
      <w:pPr>
        <w:jc w:val="both"/>
        <w:ind w:left="860" w:right="880" w:firstLine="743"/>
        <w:spacing w:after="0" w:line="28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that unless and until foreclosure, distraint, levy, sale or similar proceedings shall have been commenced, the Company or such Subsidiary need not pay or discharge any such claim or current liability so long as the validity thereof is contested in good faith and by appropriate proceedings diligently conducted and so long as such reserves or other appropriate provisions as may be required by GAAP shall have been made therefor and so long as such failure to pay or discharge does not have a Material Adverse Effect.</w:t>
      </w:r>
    </w:p>
    <w:p>
      <w:pPr>
        <w:spacing w:after="0" w:line="148" w:lineRule="exact"/>
        <w:rPr>
          <w:sz w:val="20"/>
          <w:szCs w:val="20"/>
          <w:color w:val="auto"/>
        </w:rPr>
      </w:pPr>
    </w:p>
    <w:p>
      <w:pPr>
        <w:ind w:left="-20" w:firstLine="885"/>
        <w:spacing w:after="0" w:line="251" w:lineRule="auto"/>
        <w:tabs>
          <w:tab w:leader="none" w:pos="1745" w:val="left"/>
        </w:tabs>
        <w:numPr>
          <w:ilvl w:val="0"/>
          <w:numId w:val="29"/>
        </w:numPr>
        <w:rPr>
          <w:rFonts w:ascii="Arial" w:cs="Arial" w:eastAsia="Arial" w:hAnsi="Arial"/>
          <w:sz w:val="22"/>
          <w:szCs w:val="22"/>
          <w:color w:val="auto"/>
        </w:rPr>
      </w:pPr>
      <w:r>
        <w:rPr>
          <w:rFonts w:ascii="Arial" w:cs="Arial" w:eastAsia="Arial" w:hAnsi="Arial"/>
          <w:sz w:val="22"/>
          <w:szCs w:val="22"/>
          <w:color w:val="auto"/>
        </w:rPr>
        <w:t>Paragraph 6C of the Note Agreement is hereby amended by replacing clauses (iii) and (vi) thereof in their entirety with the following:</w:t>
      </w:r>
    </w:p>
    <w:p>
      <w:pPr>
        <w:spacing w:after="0" w:line="173" w:lineRule="exact"/>
        <w:rPr>
          <w:sz w:val="20"/>
          <w:szCs w:val="20"/>
          <w:color w:val="auto"/>
        </w:rPr>
      </w:pPr>
    </w:p>
    <w:p>
      <w:pPr>
        <w:jc w:val="both"/>
        <w:ind w:left="860" w:right="900" w:firstLine="748"/>
        <w:spacing w:after="0" w:line="297" w:lineRule="auto"/>
        <w:tabs>
          <w:tab w:leader="none" w:pos="2575"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any sale of real property not used in the current operations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proceeds of sales pursuant to this clause (iii) shall not exceed (1) $100,000,000 in any fiscal year of the Company or (2) $500,000,000 from July 20, 2018 through and including the date of such sale;</w:t>
      </w:r>
    </w:p>
    <w:p>
      <w:pPr>
        <w:spacing w:after="0" w:line="134" w:lineRule="exact"/>
        <w:rPr>
          <w:sz w:val="20"/>
          <w:szCs w:val="20"/>
          <w:color w:val="auto"/>
        </w:rPr>
      </w:pPr>
    </w:p>
    <w:p>
      <w:pPr>
        <w:ind w:left="2560" w:hanging="952"/>
        <w:spacing w:after="0"/>
        <w:tabs>
          <w:tab w:leader="none" w:pos="2560"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sale for cash of any and all accounts receivable in a face amount not to exceed</w:t>
      </w:r>
    </w:p>
    <w:p>
      <w:pPr>
        <w:spacing w:after="0" w:line="8" w:lineRule="exact"/>
        <w:rPr>
          <w:rFonts w:ascii="Arial" w:cs="Arial" w:eastAsia="Arial" w:hAnsi="Arial"/>
          <w:sz w:val="22"/>
          <w:szCs w:val="22"/>
          <w:color w:val="auto"/>
        </w:rPr>
      </w:pPr>
    </w:p>
    <w:p>
      <w:pPr>
        <w:ind w:left="860"/>
        <w:spacing w:after="0"/>
        <w:rPr>
          <w:rFonts w:ascii="Arial" w:cs="Arial" w:eastAsia="Arial" w:hAnsi="Arial"/>
          <w:sz w:val="22"/>
          <w:szCs w:val="22"/>
          <w:color w:val="auto"/>
        </w:rPr>
      </w:pPr>
      <w:r>
        <w:rPr>
          <w:rFonts w:ascii="Arial" w:cs="Arial" w:eastAsia="Arial" w:hAnsi="Arial"/>
          <w:sz w:val="22"/>
          <w:szCs w:val="22"/>
          <w:color w:val="auto"/>
        </w:rPr>
        <w:t>$100,000,000;</w:t>
      </w:r>
    </w:p>
    <w:p>
      <w:pPr>
        <w:spacing w:after="0" w:line="188" w:lineRule="exact"/>
        <w:rPr>
          <w:rFonts w:ascii="Arial" w:cs="Arial" w:eastAsia="Arial" w:hAnsi="Arial"/>
          <w:sz w:val="22"/>
          <w:szCs w:val="22"/>
          <w:color w:val="auto"/>
        </w:rPr>
      </w:pPr>
    </w:p>
    <w:p>
      <w:pPr>
        <w:ind w:left="-20" w:firstLine="885"/>
        <w:spacing w:after="0" w:line="251" w:lineRule="auto"/>
        <w:tabs>
          <w:tab w:leader="none" w:pos="1758" w:val="left"/>
        </w:tabs>
        <w:numPr>
          <w:ilvl w:val="0"/>
          <w:numId w:val="32"/>
        </w:numPr>
        <w:rPr>
          <w:rFonts w:ascii="Arial" w:cs="Arial" w:eastAsia="Arial" w:hAnsi="Arial"/>
          <w:sz w:val="22"/>
          <w:szCs w:val="22"/>
          <w:color w:val="auto"/>
        </w:rPr>
      </w:pPr>
      <w:r>
        <w:rPr>
          <w:rFonts w:ascii="Arial" w:cs="Arial" w:eastAsia="Arial" w:hAnsi="Arial"/>
          <w:sz w:val="22"/>
          <w:szCs w:val="22"/>
          <w:color w:val="auto"/>
        </w:rPr>
        <w:t>Paragraph 7A of the Note Agreement is hereby amended by replacing clauses (v) and (x) thereof in their entirety with the following:</w:t>
      </w:r>
    </w:p>
    <w:p>
      <w:pPr>
        <w:spacing w:after="0" w:line="173" w:lineRule="exact"/>
        <w:rPr>
          <w:rFonts w:ascii="Arial" w:cs="Arial" w:eastAsia="Arial" w:hAnsi="Arial"/>
          <w:sz w:val="22"/>
          <w:szCs w:val="22"/>
          <w:color w:val="auto"/>
        </w:rPr>
      </w:pPr>
    </w:p>
    <w:p>
      <w:pPr>
        <w:jc w:val="both"/>
        <w:ind w:left="860" w:right="880" w:firstLine="748"/>
        <w:spacing w:after="0" w:line="247" w:lineRule="auto"/>
        <w:tabs>
          <w:tab w:leader="none" w:pos="1994" w:val="left"/>
        </w:tabs>
        <w:numPr>
          <w:ilvl w:val="1"/>
          <w:numId w:val="32"/>
        </w:numPr>
        <w:rPr>
          <w:rFonts w:ascii="Arial" w:cs="Arial" w:eastAsia="Arial" w:hAnsi="Arial"/>
          <w:sz w:val="21"/>
          <w:szCs w:val="21"/>
          <w:color w:val="auto"/>
        </w:rPr>
      </w:pPr>
      <w:r>
        <w:rPr>
          <w:rFonts w:ascii="Arial" w:cs="Arial" w:eastAsia="Arial" w:hAnsi="Arial"/>
          <w:sz w:val="21"/>
          <w:szCs w:val="21"/>
          <w:color w:val="auto"/>
        </w:rPr>
        <w:t>the Company or any of its Subsidiaries shall fail to pay any principal of or interest on any other Indebtedness which is outstanding in an aggregate principal amount of at least $100,000,000, or its equivalent in other currencies (in this clause (v) called “Material Indebtedness”), in the aggregate when the same becomes due and payable (whether at scheduled maturity, by required prepayment, acceleration, demand or otherwise); or any other event shall occur or condition shall exist under any agreement or instrument relating to any Material Indebtedness and shall continue after the applicable grace period, if any, specified in such agreement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157480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112" w:right="239" w:bottom="1440" w:gutter="0" w:footer="0" w:header="0"/>
        </w:sectPr>
      </w:pPr>
    </w:p>
    <w:bookmarkStart w:id="17" w:name="page18"/>
    <w:bookmarkEnd w:id="17"/>
    <w:p>
      <w:pPr>
        <w:jc w:val="both"/>
        <w:ind w:left="880" w:right="880"/>
        <w:spacing w:after="0" w:line="241" w:lineRule="auto"/>
        <w:rPr>
          <w:sz w:val="20"/>
          <w:szCs w:val="20"/>
          <w:color w:val="auto"/>
        </w:rPr>
      </w:pPr>
      <w:r>
        <w:rPr>
          <w:rFonts w:ascii="Arial" w:cs="Arial" w:eastAsia="Arial" w:hAnsi="Arial"/>
          <w:sz w:val="22"/>
          <w:szCs w:val="22"/>
          <w:color w:val="auto"/>
        </w:rPr>
        <w:t>instrument, if the effect of such event or condition is to accelerate, or to permit the acceleration of, the maturity of such Material Indebtedness, or to require the same to be prepaid or defeased (other than by a regularly required payment); or</w:t>
      </w:r>
    </w:p>
    <w:p>
      <w:pPr>
        <w:spacing w:after="0" w:line="184" w:lineRule="exact"/>
        <w:rPr>
          <w:sz w:val="20"/>
          <w:szCs w:val="20"/>
          <w:color w:val="auto"/>
        </w:rPr>
      </w:pPr>
    </w:p>
    <w:p>
      <w:pPr>
        <w:jc w:val="both"/>
        <w:ind w:left="880" w:right="880" w:firstLine="748"/>
        <w:spacing w:after="0" w:line="297" w:lineRule="auto"/>
        <w:tabs>
          <w:tab w:leader="none" w:pos="1998" w:val="left"/>
        </w:tabs>
        <w:numPr>
          <w:ilvl w:val="1"/>
          <w:numId w:val="33"/>
        </w:numPr>
        <w:rPr>
          <w:rFonts w:ascii="Arial" w:cs="Arial" w:eastAsia="Arial" w:hAnsi="Arial"/>
          <w:sz w:val="19"/>
          <w:szCs w:val="19"/>
          <w:color w:val="auto"/>
        </w:rPr>
      </w:pPr>
      <w:r>
        <w:rPr>
          <w:rFonts w:ascii="Arial" w:cs="Arial" w:eastAsia="Arial" w:hAnsi="Arial"/>
          <w:sz w:val="19"/>
          <w:szCs w:val="19"/>
          <w:color w:val="auto"/>
        </w:rPr>
        <w:t>the Company or any of its Subsidiaries shall fail within thirty (30) days to pay, bond or otherwise discharge any judgment or order for the payment of money, either singly or in the aggregate, in excess of $100,000,000, which is not stayed on appeal or otherwise being appropriately contested in good faith;</w:t>
      </w:r>
    </w:p>
    <w:p>
      <w:pPr>
        <w:spacing w:after="0" w:line="134" w:lineRule="exact"/>
        <w:rPr>
          <w:rFonts w:ascii="Arial" w:cs="Arial" w:eastAsia="Arial" w:hAnsi="Arial"/>
          <w:sz w:val="19"/>
          <w:szCs w:val="19"/>
          <w:color w:val="auto"/>
        </w:rPr>
      </w:pPr>
    </w:p>
    <w:p>
      <w:pPr>
        <w:ind w:firstLine="885"/>
        <w:spacing w:after="0" w:line="274" w:lineRule="auto"/>
        <w:tabs>
          <w:tab w:leader="none" w:pos="1765" w:val="left"/>
        </w:tabs>
        <w:numPr>
          <w:ilvl w:val="0"/>
          <w:numId w:val="34"/>
        </w:numPr>
        <w:rPr>
          <w:rFonts w:ascii="Arial" w:cs="Arial" w:eastAsia="Arial" w:hAnsi="Arial"/>
          <w:sz w:val="21"/>
          <w:szCs w:val="21"/>
          <w:color w:val="auto"/>
        </w:rPr>
      </w:pPr>
      <w:r>
        <w:rPr>
          <w:rFonts w:ascii="Arial" w:cs="Arial" w:eastAsia="Arial" w:hAnsi="Arial"/>
          <w:sz w:val="21"/>
          <w:szCs w:val="21"/>
          <w:color w:val="auto"/>
        </w:rPr>
        <w:t>Paragraph 10B of the Note Agreement is hereby amended by replacing the definitions of “Consolidated Cash Flow”, “Consolidated Funded Indebtedness/Cash Flow Ratio” and “S&amp;P” in their entirety with the following definitions:</w:t>
      </w:r>
    </w:p>
    <w:p>
      <w:pPr>
        <w:spacing w:after="0" w:line="145" w:lineRule="exact"/>
        <w:rPr>
          <w:sz w:val="20"/>
          <w:szCs w:val="20"/>
          <w:color w:val="auto"/>
        </w:rPr>
      </w:pPr>
    </w:p>
    <w:p>
      <w:pPr>
        <w:jc w:val="both"/>
        <w:ind w:left="880" w:right="880" w:firstLine="743"/>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Cash Flow</w:t>
      </w:r>
      <w:r>
        <w:rPr>
          <w:rFonts w:ascii="Arial" w:cs="Arial" w:eastAsia="Arial" w:hAnsi="Arial"/>
          <w:sz w:val="19"/>
          <w:szCs w:val="19"/>
          <w:color w:val="auto"/>
        </w:rPr>
        <w:t xml:space="preserve">” means, for any period, Consolidated Operating Income for such period plus (i) any amounts deducted for depreciation, amortization and operating lease expense, </w:t>
      </w:r>
      <w:r>
        <w:rPr>
          <w:rFonts w:ascii="Arial" w:cs="Arial" w:eastAsia="Arial" w:hAnsi="Arial"/>
          <w:sz w:val="19"/>
          <w:szCs w:val="19"/>
          <w:i w:val="1"/>
          <w:iCs w:val="1"/>
          <w:color w:val="auto"/>
        </w:rPr>
        <w:t>plus</w:t>
      </w:r>
      <w:r>
        <w:rPr>
          <w:rFonts w:ascii="Arial" w:cs="Arial" w:eastAsia="Arial" w:hAnsi="Arial"/>
          <w:sz w:val="19"/>
          <w:szCs w:val="19"/>
          <w:color w:val="auto"/>
        </w:rPr>
        <w:t xml:space="preserve"> (ii) any impairment charges or asset write-down or write off related to intangible assets, long-lived assets and property, plant and equipment, solely to the extent that any such charges, write-down or write off described in this clause</w:t>
      </w:r>
    </w:p>
    <w:p>
      <w:pPr>
        <w:spacing w:after="0" w:line="2" w:lineRule="exact"/>
        <w:rPr>
          <w:sz w:val="20"/>
          <w:szCs w:val="20"/>
          <w:color w:val="auto"/>
        </w:rPr>
      </w:pPr>
    </w:p>
    <w:p>
      <w:pPr>
        <w:jc w:val="both"/>
        <w:ind w:left="880" w:right="880" w:firstLine="5"/>
        <w:spacing w:after="0" w:line="275" w:lineRule="auto"/>
        <w:tabs>
          <w:tab w:leader="none" w:pos="1223"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are non-cash items, in each case in determining Consolidated Operating Income, </w:t>
      </w:r>
      <w:r>
        <w:rPr>
          <w:rFonts w:ascii="Arial" w:cs="Arial" w:eastAsia="Arial" w:hAnsi="Arial"/>
          <w:sz w:val="19"/>
          <w:szCs w:val="19"/>
          <w:i w:val="1"/>
          <w:iCs w:val="1"/>
          <w:color w:val="auto"/>
        </w:rPr>
        <w:t>plus</w:t>
      </w:r>
      <w:r>
        <w:rPr>
          <w:rFonts w:ascii="Arial" w:cs="Arial" w:eastAsia="Arial" w:hAnsi="Arial"/>
          <w:sz w:val="19"/>
          <w:szCs w:val="19"/>
          <w:color w:val="auto"/>
        </w:rPr>
        <w:t xml:space="preserve"> (iii) any non-cash pension charges related to benefit plan amendments or non-recurring or infrequent transactions, </w:t>
      </w:r>
      <w:r>
        <w:rPr>
          <w:rFonts w:ascii="Arial" w:cs="Arial" w:eastAsia="Arial" w:hAnsi="Arial"/>
          <w:sz w:val="19"/>
          <w:szCs w:val="19"/>
          <w:i w:val="1"/>
          <w:iCs w:val="1"/>
          <w:color w:val="auto"/>
        </w:rPr>
        <w:t>plus</w:t>
      </w:r>
      <w:r>
        <w:rPr>
          <w:rFonts w:ascii="Arial" w:cs="Arial" w:eastAsia="Arial" w:hAnsi="Arial"/>
          <w:sz w:val="19"/>
          <w:szCs w:val="19"/>
          <w:color w:val="auto"/>
        </w:rPr>
        <w:t xml:space="preserve"> (iv) non-cash expenses related to stock based compensation, </w:t>
      </w:r>
      <w:r>
        <w:rPr>
          <w:rFonts w:ascii="Arial" w:cs="Arial" w:eastAsia="Arial" w:hAnsi="Arial"/>
          <w:sz w:val="19"/>
          <w:szCs w:val="19"/>
          <w:i w:val="1"/>
          <w:iCs w:val="1"/>
          <w:color w:val="auto"/>
        </w:rPr>
        <w:t>minus</w:t>
      </w:r>
      <w:r>
        <w:rPr>
          <w:rFonts w:ascii="Arial" w:cs="Arial" w:eastAsia="Arial" w:hAnsi="Arial"/>
          <w:sz w:val="19"/>
          <w:szCs w:val="19"/>
          <w:color w:val="auto"/>
        </w:rPr>
        <w:t xml:space="preserve"> (v) the amount of the sub-bottling fee payments made to The Coca-Cola Company or one of its Subsidiaries in consideration for exclusive distribution rights to the Company or one of its Consolidated Subsidiaries during such applicable period. Consolidated Cash Flow shall exclude all non-cash credits or charges resulting from commodity hedging transactions.</w:t>
      </w:r>
    </w:p>
    <w:p>
      <w:pPr>
        <w:spacing w:after="0" w:line="149" w:lineRule="exact"/>
        <w:rPr>
          <w:sz w:val="20"/>
          <w:szCs w:val="20"/>
          <w:color w:val="auto"/>
        </w:rPr>
      </w:pPr>
    </w:p>
    <w:p>
      <w:pPr>
        <w:jc w:val="both"/>
        <w:ind w:left="880" w:right="880" w:firstLine="743"/>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Funded Indebtedness/Cash Flow Ratio</w:t>
      </w:r>
      <w:r>
        <w:rPr>
          <w:rFonts w:ascii="Arial" w:cs="Arial" w:eastAsia="Arial" w:hAnsi="Arial"/>
          <w:sz w:val="22"/>
          <w:szCs w:val="22"/>
          <w:color w:val="auto"/>
        </w:rPr>
        <w:t>” means, at any time, the ratio of (a) the aggregate amount of (i) Consolidated Funded Indebtedness minus the Liquidity Amount and (ii) without duplication of amounts included in clause (i), 50% of every Contingent Obligation of the Company and its Consolidated Subsidiaries (other than any Contingent Obligation in respect of any operating lease), determined and consolidated in accordance with GAAP to (b) the aggregate of (i) Consolidated Cash Flow for the then most recently concluded period of four consecutive fiscal quarters of the Company and (ii) Acquisition Cash Flow for such period.</w:t>
      </w:r>
    </w:p>
    <w:p>
      <w:pPr>
        <w:spacing w:after="0" w:line="184" w:lineRule="exact"/>
        <w:rPr>
          <w:sz w:val="20"/>
          <w:szCs w:val="20"/>
          <w:color w:val="auto"/>
        </w:rPr>
      </w:pPr>
    </w:p>
    <w:p>
      <w:pPr>
        <w:jc w:val="both"/>
        <w:ind w:left="880" w:right="880" w:firstLine="743"/>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S&amp;P</w:t>
      </w:r>
      <w:r>
        <w:rPr>
          <w:rFonts w:ascii="Arial" w:cs="Arial" w:eastAsia="Arial" w:hAnsi="Arial"/>
          <w:sz w:val="22"/>
          <w:szCs w:val="22"/>
          <w:color w:val="auto"/>
        </w:rPr>
        <w:t>” means Standard &amp; Poor’s Financial Services LLC, a subsidiary of The McGraw-Hill Companies, Inc., and any successor thereto.</w:t>
      </w:r>
    </w:p>
    <w:p>
      <w:pPr>
        <w:spacing w:after="0" w:line="169" w:lineRule="exact"/>
        <w:rPr>
          <w:sz w:val="20"/>
          <w:szCs w:val="20"/>
          <w:color w:val="auto"/>
        </w:rPr>
      </w:pPr>
    </w:p>
    <w:p>
      <w:pPr>
        <w:ind w:left="1800" w:hanging="915"/>
        <w:spacing w:after="0"/>
        <w:tabs>
          <w:tab w:leader="none" w:pos="18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Paragraph 10B of the Note Agreement is hereby further amended by adding the following definition in correct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alphabetical order:</w:t>
      </w:r>
    </w:p>
    <w:p>
      <w:pPr>
        <w:spacing w:after="0" w:line="182" w:lineRule="exact"/>
        <w:rPr>
          <w:sz w:val="20"/>
          <w:szCs w:val="20"/>
          <w:color w:val="auto"/>
        </w:rPr>
      </w:pPr>
    </w:p>
    <w:p>
      <w:pPr>
        <w:ind w:left="880" w:right="880" w:firstLine="743"/>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Liquidity Amount</w:t>
      </w:r>
      <w:r>
        <w:rPr>
          <w:rFonts w:ascii="Arial" w:cs="Arial" w:eastAsia="Arial" w:hAnsi="Arial"/>
          <w:sz w:val="22"/>
          <w:szCs w:val="22"/>
          <w:color w:val="auto"/>
        </w:rPr>
        <w:t>” means, as at any date of determination, the lesser of (i) the aggregate amount of unrestricted and unencumbered cash maintained by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ind w:left="880"/>
        <w:spacing w:after="0"/>
        <w:rPr>
          <w:sz w:val="20"/>
          <w:szCs w:val="20"/>
          <w:color w:val="auto"/>
        </w:rPr>
      </w:pPr>
      <w:r>
        <w:rPr>
          <w:rFonts w:ascii="Arial" w:cs="Arial" w:eastAsia="Arial" w:hAnsi="Arial"/>
          <w:sz w:val="22"/>
          <w:szCs w:val="22"/>
          <w:color w:val="auto"/>
        </w:rPr>
        <w:t>Company and its Subsidiaries in the United States as of such date and (ii) $20,000,000.</w:t>
      </w:r>
    </w:p>
    <w:p>
      <w:pPr>
        <w:spacing w:after="0" w:line="207" w:lineRule="exact"/>
        <w:rPr>
          <w:sz w:val="20"/>
          <w:szCs w:val="20"/>
          <w:color w:val="auto"/>
        </w:rPr>
      </w:pPr>
    </w:p>
    <w:p>
      <w:pPr>
        <w:ind w:left="1780" w:hanging="895"/>
        <w:spacing w:after="0"/>
        <w:tabs>
          <w:tab w:leader="none" w:pos="17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Paragraph 10C of the Note Agreement is hereby amended by replacing such Paragraph in its entirety with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following:</w:t>
      </w:r>
    </w:p>
    <w:p>
      <w:pPr>
        <w:spacing w:after="0" w:line="182" w:lineRule="exact"/>
        <w:rPr>
          <w:sz w:val="20"/>
          <w:szCs w:val="20"/>
          <w:color w:val="auto"/>
        </w:rPr>
      </w:pPr>
    </w:p>
    <w:p>
      <w:pPr>
        <w:jc w:val="both"/>
        <w:ind w:left="880" w:right="880" w:firstLine="743"/>
        <w:spacing w:after="0" w:line="270" w:lineRule="auto"/>
        <w:rPr>
          <w:sz w:val="20"/>
          <w:szCs w:val="20"/>
          <w:color w:val="auto"/>
        </w:rPr>
      </w:pPr>
      <w:r>
        <w:rPr>
          <w:rFonts w:ascii="Arial" w:cs="Arial" w:eastAsia="Arial" w:hAnsi="Arial"/>
          <w:sz w:val="19"/>
          <w:szCs w:val="19"/>
          <w:color w:val="auto"/>
        </w:rPr>
        <w:t xml:space="preserve">10C. </w:t>
      </w:r>
      <w:r>
        <w:rPr>
          <w:rFonts w:ascii="Arial" w:cs="Arial" w:eastAsia="Arial" w:hAnsi="Arial"/>
          <w:sz w:val="19"/>
          <w:szCs w:val="19"/>
          <w:b w:val="1"/>
          <w:bCs w:val="1"/>
          <w:color w:val="auto"/>
        </w:rPr>
        <w:t>Accounting Principles, Terms and Determinations</w:t>
      </w:r>
      <w:r>
        <w:rPr>
          <w:rFonts w:ascii="Arial" w:cs="Arial" w:eastAsia="Arial" w:hAnsi="Arial"/>
          <w:sz w:val="19"/>
          <w:szCs w:val="19"/>
          <w:color w:val="auto"/>
        </w:rPr>
        <w:t xml:space="preserve">. All accounting terms not specifically defined herein shall be construed in accordance with GAAP consistent with those applied in the preparation of the financial statements referred to in paragraph 8C.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the Company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If at any time any change in GAAP would affect the computation of any financial ratio or requirement set forth herein, and the Company so requests, the holders of the Notes and the Company will negotiate in good faith to amend such ratio or requirement to preserve the original intent thereof in light of such change in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until so amended, such ratio or requirement shall continue to be computed in accordance with GAAP as in effect prior to such change therein. Without limiting the foregoing, for purposes of determining compliance with any financial covenant ratio, requirement or basket, leases shall continue to be classified and accounted for on a basis consistent with that reflected in the financial statements referred to in paragraph 8C for all purposes of this Agreement, notwithstanding any change in GAAP relating thereto (for the avoidance of doubt, including ASC Topic 842), unless the parties hereto shall enter into a mutually acceptable amendment addressing such changes, as provided for above.</w:t>
      </w:r>
    </w:p>
    <w:p>
      <w:pPr>
        <w:spacing w:after="0" w:line="200" w:lineRule="exact"/>
        <w:rPr>
          <w:sz w:val="20"/>
          <w:szCs w:val="20"/>
          <w:color w:val="auto"/>
        </w:rPr>
      </w:pPr>
    </w:p>
    <w:p>
      <w:pPr>
        <w:spacing w:after="0" w:line="202" w:lineRule="exact"/>
        <w:rPr>
          <w:sz w:val="20"/>
          <w:szCs w:val="20"/>
          <w:color w:val="auto"/>
        </w:rPr>
      </w:pPr>
    </w:p>
    <w:p>
      <w:pPr>
        <w:jc w:val="both"/>
        <w:ind w:firstLine="885"/>
        <w:spacing w:after="0" w:line="249" w:lineRule="auto"/>
        <w:tabs>
          <w:tab w:leader="none" w:pos="1688" w:val="left"/>
        </w:tabs>
        <w:numPr>
          <w:ilvl w:val="0"/>
          <w:numId w:val="38"/>
        </w:numPr>
        <w:rPr>
          <w:rFonts w:ascii="Arial" w:cs="Arial" w:eastAsia="Arial" w:hAnsi="Arial"/>
          <w:sz w:val="21"/>
          <w:szCs w:val="21"/>
          <w:color w:val="auto"/>
        </w:rPr>
      </w:pPr>
      <w:r>
        <w:rPr>
          <w:rFonts w:ascii="Arial" w:cs="Arial" w:eastAsia="Arial" w:hAnsi="Arial"/>
          <w:sz w:val="21"/>
          <w:szCs w:val="21"/>
          <w:b w:val="1"/>
          <w:bCs w:val="1"/>
          <w:u w:val="single" w:color="auto"/>
          <w:color w:val="auto"/>
        </w:rPr>
        <w:t>Conditions to Effectiveness of this Amendment</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 other provision of this Amendment and</w:t>
      </w:r>
      <w:r>
        <w:rPr>
          <w:rFonts w:ascii="Arial" w:cs="Arial" w:eastAsia="Arial" w:hAnsi="Arial"/>
          <w:sz w:val="21"/>
          <w:szCs w:val="21"/>
          <w:b w:val="1"/>
          <w:bCs w:val="1"/>
          <w:color w:val="auto"/>
        </w:rPr>
        <w:t xml:space="preserve"> </w:t>
      </w:r>
      <w:r>
        <w:rPr>
          <w:rFonts w:ascii="Arial" w:cs="Arial" w:eastAsia="Arial" w:hAnsi="Arial"/>
          <w:sz w:val="21"/>
          <w:szCs w:val="21"/>
          <w:color w:val="auto"/>
        </w:rPr>
        <w:t>without affecting in any manner the rights of New York Life or the holders of the Notes hereunder, it is understood and agreed that this Amendment shall not become effective, and the Company shall have no rights under this Amendment, until New York Life and the Noteholders shall have received (i) reimbursement or payment of its costs and expenses incurred in connection with this Amendment or the Note Agreement (including reasonable fees, charges and disbursements of Schiff Hardin LLP, counsel to the Noteholders), and (ii) each of the following documents:</w:t>
      </w:r>
    </w:p>
    <w:p>
      <w:pPr>
        <w:spacing w:after="0" w:line="177" w:lineRule="exact"/>
        <w:rPr>
          <w:rFonts w:ascii="Arial" w:cs="Arial" w:eastAsia="Arial" w:hAnsi="Arial"/>
          <w:sz w:val="21"/>
          <w:szCs w:val="21"/>
          <w:color w:val="auto"/>
        </w:rPr>
      </w:pPr>
    </w:p>
    <w:p>
      <w:pPr>
        <w:ind w:left="2580" w:hanging="884"/>
        <w:spacing w:after="0"/>
        <w:tabs>
          <w:tab w:leader="none" w:pos="2580" w:val="left"/>
        </w:tabs>
        <w:numPr>
          <w:ilvl w:val="1"/>
          <w:numId w:val="38"/>
        </w:numPr>
        <w:rPr>
          <w:rFonts w:ascii="Arial" w:cs="Arial" w:eastAsia="Arial" w:hAnsi="Arial"/>
          <w:sz w:val="19"/>
          <w:szCs w:val="19"/>
          <w:color w:val="auto"/>
        </w:rPr>
      </w:pPr>
      <w:r>
        <w:rPr>
          <w:rFonts w:ascii="Arial" w:cs="Arial" w:eastAsia="Arial" w:hAnsi="Arial"/>
          <w:sz w:val="19"/>
          <w:szCs w:val="19"/>
          <w:color w:val="auto"/>
        </w:rPr>
        <w:t>executed counterparts to this Amendment from the Company, New York Life and the Noteholders;</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jc w:val="both"/>
        <w:ind w:left="880" w:firstLine="816"/>
        <w:spacing w:after="0" w:line="241" w:lineRule="auto"/>
        <w:tabs>
          <w:tab w:leader="none" w:pos="2590" w:val="left"/>
        </w:tabs>
        <w:numPr>
          <w:ilvl w:val="1"/>
          <w:numId w:val="39"/>
        </w:numPr>
        <w:rPr>
          <w:rFonts w:ascii="Arial" w:cs="Arial" w:eastAsia="Arial" w:hAnsi="Arial"/>
          <w:sz w:val="22"/>
          <w:szCs w:val="22"/>
          <w:color w:val="auto"/>
        </w:rPr>
      </w:pPr>
      <w:r>
        <w:rPr>
          <w:rFonts w:ascii="Arial" w:cs="Arial" w:eastAsia="Arial" w:hAnsi="Arial"/>
          <w:sz w:val="22"/>
          <w:szCs w:val="22"/>
          <w:color w:val="auto"/>
        </w:rPr>
        <w:t>an executed copy of an amendment to that certain Note Purchase and Private Shelf Agreement dated as of June 10, 2016 by and among the Company, PGIM, Inc. and certain affiliates of PGIM, Inc., in form and substance reasonable satisfactory to the Noteholders.</w:t>
      </w:r>
    </w:p>
    <w:p>
      <w:pPr>
        <w:spacing w:after="0" w:line="177" w:lineRule="exact"/>
        <w:rPr>
          <w:rFonts w:ascii="Arial" w:cs="Arial" w:eastAsia="Arial" w:hAnsi="Arial"/>
          <w:sz w:val="22"/>
          <w:szCs w:val="22"/>
          <w:color w:val="auto"/>
        </w:rPr>
      </w:pPr>
    </w:p>
    <w:p>
      <w:pPr>
        <w:ind w:firstLine="885"/>
        <w:spacing w:after="0" w:line="256" w:lineRule="auto"/>
        <w:tabs>
          <w:tab w:leader="none" w:pos="1688" w:val="left"/>
        </w:tabs>
        <w:numPr>
          <w:ilvl w:val="0"/>
          <w:numId w:val="40"/>
        </w:numPr>
        <w:rPr>
          <w:rFonts w:ascii="Arial" w:cs="Arial" w:eastAsia="Arial" w:hAnsi="Arial"/>
          <w:sz w:val="22"/>
          <w:szCs w:val="22"/>
          <w:color w:val="auto"/>
        </w:rPr>
      </w:pPr>
      <w:r>
        <w:rPr>
          <w:rFonts w:ascii="Arial" w:cs="Arial" w:eastAsia="Arial" w:hAnsi="Arial"/>
          <w:sz w:val="22"/>
          <w:szCs w:val="22"/>
          <w:b w:val="1"/>
          <w:bCs w:val="1"/>
          <w:u w:val="single" w:color="auto"/>
          <w:color w:val="auto"/>
        </w:rPr>
        <w:t>Representations and Warranties</w:t>
      </w:r>
      <w:r>
        <w:rPr>
          <w:rFonts w:ascii="Arial" w:cs="Arial" w:eastAsia="Arial" w:hAnsi="Arial"/>
          <w:sz w:val="22"/>
          <w:szCs w:val="22"/>
          <w:b w:val="1"/>
          <w:bCs w:val="1"/>
          <w:color w:val="auto"/>
        </w:rPr>
        <w:t xml:space="preserve">. </w:t>
      </w:r>
      <w:r>
        <w:rPr>
          <w:rFonts w:ascii="Arial" w:cs="Arial" w:eastAsia="Arial" w:hAnsi="Arial"/>
          <w:sz w:val="22"/>
          <w:szCs w:val="22"/>
          <w:color w:val="auto"/>
        </w:rPr>
        <w:t>To induce New York Life and the Noteholders to enter into this</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the Company hereby represents and warrants to New York Life and the Noteholders that:</w:t>
      </w:r>
    </w:p>
    <w:p>
      <w:pPr>
        <w:spacing w:after="0" w:line="169" w:lineRule="exact"/>
        <w:rPr>
          <w:sz w:val="20"/>
          <w:szCs w:val="20"/>
          <w:color w:val="auto"/>
        </w:rPr>
      </w:pPr>
    </w:p>
    <w:p>
      <w:pPr>
        <w:jc w:val="both"/>
        <w:ind w:firstLine="885"/>
        <w:spacing w:after="0" w:line="282" w:lineRule="auto"/>
        <w:tabs>
          <w:tab w:leader="none" w:pos="1765"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making and performance by the Company of this Amendment are within the Company’s corporate powers, have been duly authorized by all necessary corporate action, and do not violate (a) any provision of the Company’s certificate of incorporation or by-laws, (b) any agreement, indenture or other contractual restriction binding on the Company, (c) any law, rule or regulation (including, without limitation, the Securities Act of 1933 and the Exchange Act and the regulations thereunder, and Regulations T, U or X), or (d) any order, writ, judgment, injunction, decree, determination or award binding on the Company;</w:t>
      </w:r>
    </w:p>
    <w:p>
      <w:pPr>
        <w:spacing w:after="0" w:line="147" w:lineRule="exact"/>
        <w:rPr>
          <w:rFonts w:ascii="Arial" w:cs="Arial" w:eastAsia="Arial" w:hAnsi="Arial"/>
          <w:sz w:val="19"/>
          <w:szCs w:val="19"/>
          <w:color w:val="auto"/>
        </w:rPr>
      </w:pPr>
    </w:p>
    <w:p>
      <w:pPr>
        <w:jc w:val="both"/>
        <w:ind w:firstLine="885"/>
        <w:spacing w:after="0"/>
        <w:tabs>
          <w:tab w:leader="none" w:pos="1778" w:val="left"/>
        </w:tabs>
        <w:numPr>
          <w:ilvl w:val="0"/>
          <w:numId w:val="41"/>
        </w:numPr>
        <w:rPr>
          <w:rFonts w:ascii="Arial" w:cs="Arial" w:eastAsia="Arial" w:hAnsi="Arial"/>
          <w:sz w:val="22"/>
          <w:szCs w:val="22"/>
          <w:color w:val="auto"/>
        </w:rPr>
      </w:pPr>
      <w:r>
        <w:rPr>
          <w:rFonts w:ascii="Arial" w:cs="Arial" w:eastAsia="Arial" w:hAnsi="Arial"/>
          <w:sz w:val="22"/>
          <w:szCs w:val="22"/>
          <w:color w:val="auto"/>
        </w:rPr>
        <w:t>No authorization or approval or other action by, and no notice to or filing with, any Governmental Authority is required (other than those which have been obtained) for the making and performance by the Company of this Amendment or for the legality, validity, binding effect or enforceability hereof.</w:t>
      </w:r>
    </w:p>
    <w:p>
      <w:pPr>
        <w:spacing w:after="0" w:line="186" w:lineRule="exact"/>
        <w:rPr>
          <w:rFonts w:ascii="Arial" w:cs="Arial" w:eastAsia="Arial" w:hAnsi="Arial"/>
          <w:sz w:val="22"/>
          <w:szCs w:val="22"/>
          <w:color w:val="auto"/>
        </w:rPr>
      </w:pPr>
    </w:p>
    <w:p>
      <w:pPr>
        <w:jc w:val="both"/>
        <w:ind w:firstLine="885"/>
        <w:spacing w:after="0" w:line="248" w:lineRule="auto"/>
        <w:tabs>
          <w:tab w:leader="none" w:pos="1765"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This Amendment constitutes a legal, valid and binding obligation of the Company, enforceable against the Company in accordance with its terms, except as may be limited by bankruptcy, insolvency, reorganization, moratorium or other similar laws relating to or affecting the rights of creditors generally and except as the enforceability of this Amendment is subject to the application of general principles of equity (regardless of whether considered in a proceeding in equity or at law), including, without limitation, (i) the possible unavailability of specific performance, injunctive relief or any other equitable remedy and (ii) concepts of materiality, reasonableness, good faith and fair dealing; and</w:t>
      </w:r>
    </w:p>
    <w:p>
      <w:pPr>
        <w:spacing w:after="0" w:line="177" w:lineRule="exact"/>
        <w:rPr>
          <w:rFonts w:ascii="Arial" w:cs="Arial" w:eastAsia="Arial" w:hAnsi="Arial"/>
          <w:sz w:val="21"/>
          <w:szCs w:val="21"/>
          <w:color w:val="auto"/>
        </w:rPr>
      </w:pPr>
    </w:p>
    <w:p>
      <w:pPr>
        <w:jc w:val="both"/>
        <w:ind w:firstLine="885"/>
        <w:spacing w:after="0" w:line="287" w:lineRule="auto"/>
        <w:tabs>
          <w:tab w:leader="none" w:pos="1778" w:val="left"/>
        </w:tabs>
        <w:numPr>
          <w:ilvl w:val="0"/>
          <w:numId w:val="41"/>
        </w:numPr>
        <w:rPr>
          <w:rFonts w:ascii="Arial" w:cs="Arial" w:eastAsia="Arial" w:hAnsi="Arial"/>
          <w:sz w:val="19"/>
          <w:szCs w:val="19"/>
          <w:color w:val="auto"/>
        </w:rPr>
      </w:pPr>
      <w:r>
        <w:rPr>
          <w:rFonts w:ascii="Arial" w:cs="Arial" w:eastAsia="Arial" w:hAnsi="Arial"/>
          <w:sz w:val="19"/>
          <w:szCs w:val="19"/>
          <w:color w:val="auto"/>
        </w:rPr>
        <w:t>After giving effect to this Amendment, the representations and warranties contained in the Note Agreement and the other Note Documents are true and correct in all material respects as of the date hereof (unless expressly stated to relate to an earlier date, in which case such representations and warranties shall be true and correct in all material respects as of such earlier date), and no Default or Event of Default has occurred and is continuing as of the date hereof.</w:t>
      </w:r>
    </w:p>
    <w:p>
      <w:pPr>
        <w:spacing w:after="0" w:line="137" w:lineRule="exact"/>
        <w:rPr>
          <w:sz w:val="20"/>
          <w:szCs w:val="20"/>
          <w:color w:val="auto"/>
        </w:rPr>
      </w:pPr>
    </w:p>
    <w:p>
      <w:pPr>
        <w:jc w:val="both"/>
        <w:ind w:firstLine="885"/>
        <w:spacing w:after="0" w:line="248" w:lineRule="auto"/>
        <w:tabs>
          <w:tab w:leader="none" w:pos="1688" w:val="left"/>
        </w:tabs>
        <w:numPr>
          <w:ilvl w:val="0"/>
          <w:numId w:val="42"/>
        </w:numPr>
        <w:rPr>
          <w:rFonts w:ascii="Arial" w:cs="Arial" w:eastAsia="Arial" w:hAnsi="Arial"/>
          <w:sz w:val="21"/>
          <w:szCs w:val="21"/>
          <w:color w:val="auto"/>
        </w:rPr>
      </w:pPr>
      <w:r>
        <w:rPr>
          <w:rFonts w:ascii="Arial" w:cs="Arial" w:eastAsia="Arial" w:hAnsi="Arial"/>
          <w:sz w:val="21"/>
          <w:szCs w:val="21"/>
          <w:b w:val="1"/>
          <w:bCs w:val="1"/>
          <w:u w:val="single" w:color="auto"/>
          <w:color w:val="auto"/>
        </w:rPr>
        <w:t>Effect of Amendment</w:t>
      </w:r>
      <w:r>
        <w:rPr>
          <w:rFonts w:ascii="Arial" w:cs="Arial" w:eastAsia="Arial" w:hAnsi="Arial"/>
          <w:sz w:val="21"/>
          <w:szCs w:val="21"/>
          <w:color w:val="auto"/>
        </w:rPr>
        <w:t>. Except as set forth expressly herein, all terms of the Note Agreement, as amended</w:t>
      </w:r>
      <w:r>
        <w:rPr>
          <w:rFonts w:ascii="Arial" w:cs="Arial" w:eastAsia="Arial" w:hAnsi="Arial"/>
          <w:sz w:val="21"/>
          <w:szCs w:val="21"/>
          <w:b w:val="1"/>
          <w:bCs w:val="1"/>
          <w:color w:val="auto"/>
        </w:rPr>
        <w:t xml:space="preserve"> </w:t>
      </w:r>
      <w:r>
        <w:rPr>
          <w:rFonts w:ascii="Arial" w:cs="Arial" w:eastAsia="Arial" w:hAnsi="Arial"/>
          <w:sz w:val="21"/>
          <w:szCs w:val="21"/>
          <w:color w:val="auto"/>
        </w:rPr>
        <w:t>hereby, and the other Note Documents shall be and remain in full force and effect and shall constitute the legal, valid, binding and enforceable obligations of the Company to all holders of the Notes. The execution, delivery and effectiveness of this Amendment shall not, except as expressly provided herein, operate as a waiver of any right, power or remedy of the holders of the Notes under the Note Agreement, nor constitute a waiver of any provision of the Note Agreement. From and after the date hereof, all references to the Note Agreement shall mean the Note Agreement as modified by this Amendment. This Amendment shall constitute a Note Document for all purposes of the Note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ind w:right="20" w:firstLine="885"/>
        <w:spacing w:after="0" w:line="257" w:lineRule="auto"/>
        <w:tabs>
          <w:tab w:leader="none" w:pos="1688" w:val="left"/>
        </w:tabs>
        <w:numPr>
          <w:ilvl w:val="0"/>
          <w:numId w:val="43"/>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Amendment shall be governed by, and construed in accordance with, the internal laws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State of New York and all applicable federal laws of the United States of America.</w:t>
      </w:r>
    </w:p>
    <w:p>
      <w:pPr>
        <w:spacing w:after="0" w:line="161" w:lineRule="exact"/>
        <w:rPr>
          <w:rFonts w:ascii="Arial" w:cs="Arial" w:eastAsia="Arial" w:hAnsi="Arial"/>
          <w:sz w:val="22"/>
          <w:szCs w:val="22"/>
          <w:color w:val="auto"/>
        </w:rPr>
      </w:pPr>
    </w:p>
    <w:p>
      <w:pPr>
        <w:ind w:firstLine="885"/>
        <w:spacing w:after="0" w:line="256" w:lineRule="auto"/>
        <w:tabs>
          <w:tab w:leader="none" w:pos="1688" w:val="left"/>
        </w:tabs>
        <w:numPr>
          <w:ilvl w:val="0"/>
          <w:numId w:val="43"/>
        </w:numPr>
        <w:rPr>
          <w:rFonts w:ascii="Arial" w:cs="Arial" w:eastAsia="Arial" w:hAnsi="Arial"/>
          <w:sz w:val="22"/>
          <w:szCs w:val="22"/>
          <w:color w:val="auto"/>
        </w:rPr>
      </w:pPr>
      <w:r>
        <w:rPr>
          <w:rFonts w:ascii="Arial" w:cs="Arial" w:eastAsia="Arial" w:hAnsi="Arial"/>
          <w:sz w:val="22"/>
          <w:szCs w:val="22"/>
          <w:b w:val="1"/>
          <w:bCs w:val="1"/>
          <w:u w:val="single" w:color="auto"/>
          <w:color w:val="auto"/>
        </w:rPr>
        <w:t>No Novation</w:t>
      </w:r>
      <w:r>
        <w:rPr>
          <w:rFonts w:ascii="Arial" w:cs="Arial" w:eastAsia="Arial" w:hAnsi="Arial"/>
          <w:sz w:val="22"/>
          <w:szCs w:val="22"/>
          <w:b w:val="1"/>
          <w:bCs w:val="1"/>
          <w:color w:val="auto"/>
        </w:rPr>
        <w:t xml:space="preserve">. </w:t>
      </w:r>
      <w:r>
        <w:rPr>
          <w:rFonts w:ascii="Arial" w:cs="Arial" w:eastAsia="Arial" w:hAnsi="Arial"/>
          <w:sz w:val="22"/>
          <w:szCs w:val="22"/>
          <w:color w:val="auto"/>
        </w:rPr>
        <w:t>This Amendment is not intended by the parties to be, and shall not be construed to be, a novation</w:t>
      </w:r>
      <w:r>
        <w:rPr>
          <w:rFonts w:ascii="Arial" w:cs="Arial" w:eastAsia="Arial" w:hAnsi="Arial"/>
          <w:sz w:val="22"/>
          <w:szCs w:val="22"/>
          <w:b w:val="1"/>
          <w:bCs w:val="1"/>
          <w:color w:val="auto"/>
        </w:rPr>
        <w:t xml:space="preserve"> </w:t>
      </w:r>
      <w:r>
        <w:rPr>
          <w:rFonts w:ascii="Arial" w:cs="Arial" w:eastAsia="Arial" w:hAnsi="Arial"/>
          <w:sz w:val="22"/>
          <w:szCs w:val="22"/>
          <w:color w:val="auto"/>
        </w:rPr>
        <w:t>of the Note Agreement or an accord and satisfaction in regard thereto.</w:t>
      </w:r>
    </w:p>
    <w:p>
      <w:pPr>
        <w:spacing w:after="0" w:line="162" w:lineRule="exact"/>
        <w:rPr>
          <w:rFonts w:ascii="Arial" w:cs="Arial" w:eastAsia="Arial" w:hAnsi="Arial"/>
          <w:sz w:val="22"/>
          <w:szCs w:val="22"/>
          <w:color w:val="auto"/>
        </w:rPr>
      </w:pPr>
    </w:p>
    <w:p>
      <w:pPr>
        <w:jc w:val="both"/>
        <w:ind w:right="20" w:firstLine="885"/>
        <w:spacing w:after="0" w:line="261" w:lineRule="auto"/>
        <w:tabs>
          <w:tab w:leader="none" w:pos="1688" w:val="left"/>
        </w:tabs>
        <w:numPr>
          <w:ilvl w:val="0"/>
          <w:numId w:val="43"/>
        </w:numPr>
        <w:rPr>
          <w:rFonts w:ascii="Arial" w:cs="Arial" w:eastAsia="Arial" w:hAnsi="Arial"/>
          <w:sz w:val="21"/>
          <w:szCs w:val="21"/>
          <w:color w:val="auto"/>
        </w:rPr>
      </w:pPr>
      <w:r>
        <w:rPr>
          <w:rFonts w:ascii="Arial" w:cs="Arial" w:eastAsia="Arial" w:hAnsi="Arial"/>
          <w:sz w:val="21"/>
          <w:szCs w:val="21"/>
          <w:b w:val="1"/>
          <w:bCs w:val="1"/>
          <w:u w:val="single" w:color="auto"/>
          <w:color w:val="auto"/>
        </w:rPr>
        <w:t>Costs and Expenses</w:t>
      </w:r>
      <w:r>
        <w:rPr>
          <w:rFonts w:ascii="Arial" w:cs="Arial" w:eastAsia="Arial" w:hAnsi="Arial"/>
          <w:sz w:val="21"/>
          <w:szCs w:val="21"/>
          <w:color w:val="auto"/>
        </w:rPr>
        <w:t>. The Company agrees to pay on demand all costs and expenses of New York Life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Noteholders in connection with the preparation, execution and delivery of this Amendment, including, without limitation, the reasonable fees and out-of-pocket expenses of outside counsel for the Noteholders with respect thereto.</w:t>
      </w:r>
    </w:p>
    <w:p>
      <w:pPr>
        <w:spacing w:after="0" w:line="157" w:lineRule="exact"/>
        <w:rPr>
          <w:rFonts w:ascii="Arial" w:cs="Arial" w:eastAsia="Arial" w:hAnsi="Arial"/>
          <w:sz w:val="21"/>
          <w:szCs w:val="21"/>
          <w:color w:val="auto"/>
        </w:rPr>
      </w:pPr>
    </w:p>
    <w:p>
      <w:pPr>
        <w:jc w:val="both"/>
        <w:ind w:firstLine="885"/>
        <w:spacing w:after="0" w:line="254" w:lineRule="auto"/>
        <w:tabs>
          <w:tab w:leader="none" w:pos="1688" w:val="left"/>
        </w:tabs>
        <w:numPr>
          <w:ilvl w:val="0"/>
          <w:numId w:val="43"/>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b w:val="1"/>
          <w:bCs w:val="1"/>
          <w:color w:val="auto"/>
        </w:rPr>
        <w:t xml:space="preserve">. </w:t>
      </w:r>
      <w:r>
        <w:rPr>
          <w:rFonts w:ascii="Arial" w:cs="Arial" w:eastAsia="Arial" w:hAnsi="Arial"/>
          <w:sz w:val="21"/>
          <w:szCs w:val="21"/>
          <w:color w:val="auto"/>
        </w:rPr>
        <w:t>This Amendment may be executed by one or more of the parties hereto in any number of</w:t>
      </w:r>
      <w:r>
        <w:rPr>
          <w:rFonts w:ascii="Arial" w:cs="Arial" w:eastAsia="Arial" w:hAnsi="Arial"/>
          <w:sz w:val="21"/>
          <w:szCs w:val="21"/>
          <w:b w:val="1"/>
          <w:bCs w:val="1"/>
          <w:color w:val="auto"/>
        </w:rPr>
        <w:t xml:space="preserve"> </w:t>
      </w:r>
      <w:r>
        <w:rPr>
          <w:rFonts w:ascii="Arial" w:cs="Arial" w:eastAsia="Arial" w:hAnsi="Arial"/>
          <w:sz w:val="21"/>
          <w:szCs w:val="21"/>
          <w:color w:val="auto"/>
        </w:rPr>
        <w:t>separate counterparts, each of which shall be deemed an original and all of which, taken together, shall be deemed to constitute one and the same instrument. Delivery of an executed counterpart of this Amendment by facsimile transmission or by electronic mail in pdf form shall be as effective as delivery of a manually executed counterpart hereof.</w:t>
      </w:r>
    </w:p>
    <w:p>
      <w:pPr>
        <w:spacing w:after="0" w:line="166" w:lineRule="exact"/>
        <w:rPr>
          <w:rFonts w:ascii="Arial" w:cs="Arial" w:eastAsia="Arial" w:hAnsi="Arial"/>
          <w:sz w:val="21"/>
          <w:szCs w:val="21"/>
          <w:color w:val="auto"/>
        </w:rPr>
      </w:pPr>
    </w:p>
    <w:p>
      <w:pPr>
        <w:ind w:firstLine="885"/>
        <w:spacing w:after="0" w:line="280" w:lineRule="auto"/>
        <w:tabs>
          <w:tab w:leader="none" w:pos="1688" w:val="left"/>
        </w:tabs>
        <w:numPr>
          <w:ilvl w:val="0"/>
          <w:numId w:val="43"/>
        </w:numPr>
        <w:rPr>
          <w:rFonts w:ascii="Arial" w:cs="Arial" w:eastAsia="Arial" w:hAnsi="Arial"/>
          <w:sz w:val="21"/>
          <w:szCs w:val="21"/>
          <w:color w:val="auto"/>
        </w:rPr>
      </w:pPr>
      <w:r>
        <w:rPr>
          <w:rFonts w:ascii="Arial" w:cs="Arial" w:eastAsia="Arial" w:hAnsi="Arial"/>
          <w:sz w:val="21"/>
          <w:szCs w:val="21"/>
          <w:b w:val="1"/>
          <w:bCs w:val="1"/>
          <w:u w:val="single" w:color="auto"/>
          <w:color w:val="auto"/>
        </w:rPr>
        <w:t>Binding Nature</w:t>
      </w:r>
      <w:r>
        <w:rPr>
          <w:rFonts w:ascii="Arial" w:cs="Arial" w:eastAsia="Arial" w:hAnsi="Arial"/>
          <w:sz w:val="21"/>
          <w:szCs w:val="21"/>
          <w:b w:val="1"/>
          <w:bCs w:val="1"/>
          <w:color w:val="auto"/>
        </w:rPr>
        <w:t xml:space="preserve">. </w:t>
      </w:r>
      <w:r>
        <w:rPr>
          <w:rFonts w:ascii="Arial" w:cs="Arial" w:eastAsia="Arial" w:hAnsi="Arial"/>
          <w:sz w:val="21"/>
          <w:szCs w:val="21"/>
          <w:color w:val="auto"/>
        </w:rPr>
        <w:t>This Amendment shall be binding upon and inure to the benefit of the parties hereto, any</w:t>
      </w:r>
      <w:r>
        <w:rPr>
          <w:rFonts w:ascii="Arial" w:cs="Arial" w:eastAsia="Arial" w:hAnsi="Arial"/>
          <w:sz w:val="21"/>
          <w:szCs w:val="21"/>
          <w:b w:val="1"/>
          <w:bCs w:val="1"/>
          <w:color w:val="auto"/>
        </w:rPr>
        <w:t xml:space="preserve"> </w:t>
      </w:r>
      <w:r>
        <w:rPr>
          <w:rFonts w:ascii="Arial" w:cs="Arial" w:eastAsia="Arial" w:hAnsi="Arial"/>
          <w:sz w:val="21"/>
          <w:szCs w:val="21"/>
          <w:color w:val="auto"/>
        </w:rPr>
        <w:t>other holders of Notes from time to time and their respective successors, successors-in-titles, and assigns.</w:t>
      </w:r>
    </w:p>
    <w:p>
      <w:pPr>
        <w:spacing w:after="0" w:line="138" w:lineRule="exact"/>
        <w:rPr>
          <w:rFonts w:ascii="Arial" w:cs="Arial" w:eastAsia="Arial" w:hAnsi="Arial"/>
          <w:sz w:val="21"/>
          <w:szCs w:val="21"/>
          <w:color w:val="auto"/>
        </w:rPr>
      </w:pPr>
    </w:p>
    <w:p>
      <w:pPr>
        <w:ind w:firstLine="885"/>
        <w:spacing w:after="0" w:line="335" w:lineRule="auto"/>
        <w:tabs>
          <w:tab w:leader="none" w:pos="1796" w:val="left"/>
        </w:tabs>
        <w:numPr>
          <w:ilvl w:val="0"/>
          <w:numId w:val="43"/>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Understanding</w:t>
      </w:r>
      <w:r>
        <w:rPr>
          <w:rFonts w:ascii="Arial" w:cs="Arial" w:eastAsia="Arial" w:hAnsi="Arial"/>
          <w:sz w:val="19"/>
          <w:szCs w:val="19"/>
          <w:b w:val="1"/>
          <w:bCs w:val="1"/>
          <w:color w:val="auto"/>
        </w:rPr>
        <w:t xml:space="preserve">. </w:t>
      </w:r>
      <w:r>
        <w:rPr>
          <w:rFonts w:ascii="Arial" w:cs="Arial" w:eastAsia="Arial" w:hAnsi="Arial"/>
          <w:sz w:val="19"/>
          <w:szCs w:val="19"/>
          <w:color w:val="auto"/>
        </w:rPr>
        <w:t>This Amendment sets forth the entire understanding of the parties with respect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matters set forth herein, and shall supersede any prior negotiations or agreements, whether written or oral, with respect thereto.</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remainder of this page intentionally left blank]</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1" w:name="page22"/>
    <w:bookmarkEnd w:id="21"/>
    <w:p>
      <w:pPr>
        <w:ind w:firstLine="877"/>
        <w:spacing w:after="0" w:line="251" w:lineRule="auto"/>
        <w:rPr>
          <w:sz w:val="20"/>
          <w:szCs w:val="20"/>
          <w:color w:val="auto"/>
        </w:rPr>
      </w:pPr>
      <w:r>
        <w:rPr>
          <w:rFonts w:ascii="Arial" w:cs="Arial" w:eastAsia="Arial" w:hAnsi="Arial"/>
          <w:sz w:val="22"/>
          <w:szCs w:val="22"/>
          <w:color w:val="auto"/>
        </w:rPr>
        <w:t>IN WITNESS WHEREOF, the parties hereto have caused this Amendment to be duly executed, under seal in the case of the Company, by its respective authorized officers as of the day and year first above written.</w:t>
      </w:r>
    </w:p>
    <w:p>
      <w:pPr>
        <w:spacing w:after="0" w:line="200" w:lineRule="exact"/>
        <w:rPr>
          <w:sz w:val="20"/>
          <w:szCs w:val="20"/>
          <w:color w:val="auto"/>
        </w:rPr>
      </w:pPr>
    </w:p>
    <w:p>
      <w:pPr>
        <w:spacing w:after="0" w:line="399"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COMPANY:</w:t>
      </w:r>
    </w:p>
    <w:p>
      <w:pPr>
        <w:spacing w:after="0" w:line="206"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COCA-COLA BOTTLING CO. CONSOLIDATED</w:t>
      </w:r>
    </w:p>
    <w:p>
      <w:pPr>
        <w:spacing w:after="0" w:line="200" w:lineRule="exact"/>
        <w:rPr>
          <w:sz w:val="20"/>
          <w:szCs w:val="20"/>
          <w:color w:val="auto"/>
        </w:rPr>
      </w:pPr>
    </w:p>
    <w:p>
      <w:pPr>
        <w:spacing w:after="0" w:line="228" w:lineRule="exact"/>
        <w:rPr>
          <w:sz w:val="20"/>
          <w:szCs w:val="20"/>
          <w:color w:val="auto"/>
        </w:rPr>
      </w:pPr>
    </w:p>
    <w:tbl>
      <w:tblPr>
        <w:tblLayout w:type="fixed"/>
        <w:tblInd w:w="5160" w:type="dxa"/>
        <w:tblCellMar>
          <w:top w:w="0" w:type="dxa"/>
          <w:left w:w="0" w:type="dxa"/>
          <w:bottom w:w="0" w:type="dxa"/>
          <w:right w:w="0" w:type="dxa"/>
        </w:tblCellMar>
      </w:tblPr>
      <w:tr>
        <w:trPr>
          <w:trHeight w:val="26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David M. Katz</w:t>
            </w:r>
          </w:p>
        </w:tc>
      </w:tr>
      <w:tr>
        <w:trPr>
          <w:trHeight w:val="215"/>
        </w:trPr>
        <w:tc>
          <w:tcPr>
            <w:tcW w:w="10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260" w:type="dxa"/>
            <w:vAlign w:val="bottom"/>
          </w:tcPr>
          <w:p>
            <w:pPr>
              <w:spacing w:after="0" w:line="216" w:lineRule="exact"/>
              <w:rPr>
                <w:sz w:val="20"/>
                <w:szCs w:val="20"/>
                <w:color w:val="auto"/>
              </w:rPr>
            </w:pPr>
            <w:r>
              <w:rPr>
                <w:rFonts w:ascii="Arial" w:cs="Arial" w:eastAsia="Arial" w:hAnsi="Arial"/>
                <w:sz w:val="22"/>
                <w:szCs w:val="22"/>
                <w:color w:val="auto"/>
              </w:rPr>
              <w:t>David M. Katz</w:t>
            </w:r>
          </w:p>
        </w:tc>
      </w:tr>
      <w:tr>
        <w:trPr>
          <w:trHeight w:val="243"/>
        </w:trPr>
        <w:tc>
          <w:tcPr>
            <w:tcW w:w="10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5260" w:type="dxa"/>
            <w:vAlign w:val="bottom"/>
          </w:tcPr>
          <w:p>
            <w:pPr>
              <w:spacing w:after="0" w:line="243" w:lineRule="exact"/>
              <w:rPr>
                <w:sz w:val="20"/>
                <w:szCs w:val="20"/>
                <w:color w:val="auto"/>
              </w:rPr>
            </w:pPr>
            <w:r>
              <w:rPr>
                <w:rFonts w:ascii="Arial" w:cs="Arial" w:eastAsia="Arial" w:hAnsi="Arial"/>
                <w:sz w:val="22"/>
                <w:szCs w:val="22"/>
                <w:color w:val="auto"/>
              </w:rPr>
              <w:t>Executive Vice President and</w:t>
            </w:r>
          </w:p>
        </w:tc>
      </w:tr>
      <w:tr>
        <w:trPr>
          <w:trHeight w:val="275"/>
        </w:trPr>
        <w:tc>
          <w:tcPr>
            <w:tcW w:w="1000" w:type="dxa"/>
            <w:vAlign w:val="bottom"/>
          </w:tcPr>
          <w:p>
            <w:pPr>
              <w:spacing w:after="0"/>
              <w:rPr>
                <w:sz w:val="23"/>
                <w:szCs w:val="23"/>
                <w:color w:val="auto"/>
              </w:rPr>
            </w:pPr>
          </w:p>
        </w:tc>
        <w:tc>
          <w:tcPr>
            <w:tcW w:w="526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FIRST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PURCHASE AND PRIVATE SHELF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09" w:right="239" w:bottom="1440" w:gutter="0" w:footer="0" w:header="0"/>
        </w:sectPr>
      </w:pPr>
    </w:p>
    <w:bookmarkStart w:id="22" w:name="page23"/>
    <w:bookmarkEnd w:id="22"/>
    <w:p>
      <w:pPr>
        <w:jc w:val="center"/>
        <w:ind w:right="40"/>
        <w:spacing w:after="0"/>
        <w:rPr>
          <w:sz w:val="20"/>
          <w:szCs w:val="20"/>
          <w:color w:val="auto"/>
        </w:rPr>
      </w:pPr>
      <w:r>
        <w:rPr>
          <w:rFonts w:ascii="Arial" w:cs="Arial" w:eastAsia="Arial" w:hAnsi="Arial"/>
          <w:sz w:val="22"/>
          <w:szCs w:val="22"/>
          <w:b w:val="1"/>
          <w:bCs w:val="1"/>
          <w:color w:val="auto"/>
        </w:rPr>
        <w:t>NYL INVESTORS LLC</w:t>
      </w:r>
    </w:p>
    <w:p>
      <w:pPr>
        <w:spacing w:after="0" w:line="200" w:lineRule="exact"/>
        <w:rPr>
          <w:sz w:val="20"/>
          <w:szCs w:val="20"/>
          <w:color w:val="auto"/>
        </w:rPr>
      </w:pPr>
    </w:p>
    <w:p>
      <w:pPr>
        <w:spacing w:after="0" w:line="228" w:lineRule="exact"/>
        <w:rPr>
          <w:sz w:val="20"/>
          <w:szCs w:val="20"/>
          <w:color w:val="auto"/>
        </w:rPr>
      </w:pPr>
    </w:p>
    <w:tbl>
      <w:tblPr>
        <w:tblLayout w:type="fixed"/>
        <w:tblInd w:w="3960" w:type="dxa"/>
        <w:tblCellMar>
          <w:top w:w="0" w:type="dxa"/>
          <w:left w:w="0" w:type="dxa"/>
          <w:bottom w:w="0" w:type="dxa"/>
          <w:right w:w="0" w:type="dxa"/>
        </w:tblCellMar>
      </w:tblPr>
      <w:tr>
        <w:trPr>
          <w:trHeight w:val="26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Andrew Donner</w:t>
            </w:r>
          </w:p>
        </w:tc>
      </w:tr>
      <w:tr>
        <w:trPr>
          <w:trHeight w:val="215"/>
        </w:trPr>
        <w:tc>
          <w:tcPr>
            <w:tcW w:w="10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260" w:type="dxa"/>
            <w:vAlign w:val="bottom"/>
          </w:tcPr>
          <w:p>
            <w:pPr>
              <w:spacing w:after="0" w:line="216" w:lineRule="exact"/>
              <w:rPr>
                <w:sz w:val="20"/>
                <w:szCs w:val="20"/>
                <w:color w:val="auto"/>
              </w:rPr>
            </w:pPr>
            <w:r>
              <w:rPr>
                <w:rFonts w:ascii="Arial" w:cs="Arial" w:eastAsia="Arial" w:hAnsi="Arial"/>
                <w:sz w:val="22"/>
                <w:szCs w:val="22"/>
                <w:color w:val="auto"/>
              </w:rPr>
              <w:t>Andrew Donner</w:t>
            </w:r>
          </w:p>
        </w:tc>
      </w:tr>
      <w:tr>
        <w:trPr>
          <w:trHeight w:val="275"/>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260" w:type="dxa"/>
            <w:vAlign w:val="bottom"/>
          </w:tcPr>
          <w:p>
            <w:pPr>
              <w:spacing w:after="0"/>
              <w:rPr>
                <w:sz w:val="20"/>
                <w:szCs w:val="20"/>
                <w:color w:val="auto"/>
              </w:rPr>
            </w:pPr>
            <w:r>
              <w:rPr>
                <w:rFonts w:ascii="Arial" w:cs="Arial" w:eastAsia="Arial" w:hAnsi="Arial"/>
                <w:sz w:val="22"/>
                <w:szCs w:val="22"/>
                <w:color w:val="auto"/>
              </w:rPr>
              <w:t>Senior Director</w:t>
            </w:r>
          </w:p>
        </w:tc>
      </w:tr>
    </w:tbl>
    <w:p>
      <w:pPr>
        <w:spacing w:after="0" w:line="395"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NEW YORK LIFE INSURANCE COMPANY</w:t>
      </w:r>
    </w:p>
    <w:p>
      <w:pPr>
        <w:spacing w:after="0" w:line="200" w:lineRule="exact"/>
        <w:rPr>
          <w:sz w:val="20"/>
          <w:szCs w:val="20"/>
          <w:color w:val="auto"/>
        </w:rPr>
      </w:pPr>
    </w:p>
    <w:p>
      <w:pPr>
        <w:spacing w:after="0" w:line="228" w:lineRule="exact"/>
        <w:rPr>
          <w:sz w:val="20"/>
          <w:szCs w:val="20"/>
          <w:color w:val="auto"/>
        </w:rPr>
      </w:pPr>
    </w:p>
    <w:tbl>
      <w:tblPr>
        <w:tblLayout w:type="fixed"/>
        <w:tblInd w:w="3960" w:type="dxa"/>
        <w:tblCellMar>
          <w:top w:w="0" w:type="dxa"/>
          <w:left w:w="0" w:type="dxa"/>
          <w:bottom w:w="0" w:type="dxa"/>
          <w:right w:w="0" w:type="dxa"/>
        </w:tblCellMar>
      </w:tblPr>
      <w:tr>
        <w:trPr>
          <w:trHeight w:val="26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Andrew Donner</w:t>
            </w:r>
          </w:p>
        </w:tc>
      </w:tr>
      <w:tr>
        <w:trPr>
          <w:trHeight w:val="215"/>
        </w:trPr>
        <w:tc>
          <w:tcPr>
            <w:tcW w:w="10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260" w:type="dxa"/>
            <w:vAlign w:val="bottom"/>
          </w:tcPr>
          <w:p>
            <w:pPr>
              <w:spacing w:after="0" w:line="216" w:lineRule="exact"/>
              <w:rPr>
                <w:sz w:val="20"/>
                <w:szCs w:val="20"/>
                <w:color w:val="auto"/>
              </w:rPr>
            </w:pPr>
            <w:r>
              <w:rPr>
                <w:rFonts w:ascii="Arial" w:cs="Arial" w:eastAsia="Arial" w:hAnsi="Arial"/>
                <w:sz w:val="22"/>
                <w:szCs w:val="22"/>
                <w:color w:val="auto"/>
              </w:rPr>
              <w:t>Andrew Donner</w:t>
            </w:r>
          </w:p>
        </w:tc>
      </w:tr>
      <w:tr>
        <w:trPr>
          <w:trHeight w:val="275"/>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260" w:type="dxa"/>
            <w:vAlign w:val="bottom"/>
          </w:tcPr>
          <w:p>
            <w:pPr>
              <w:spacing w:after="0"/>
              <w:rPr>
                <w:sz w:val="20"/>
                <w:szCs w:val="20"/>
                <w:color w:val="auto"/>
              </w:rPr>
            </w:pPr>
            <w:r>
              <w:rPr>
                <w:rFonts w:ascii="Arial" w:cs="Arial" w:eastAsia="Arial" w:hAnsi="Arial"/>
                <w:sz w:val="22"/>
                <w:szCs w:val="22"/>
                <w:color w:val="auto"/>
              </w:rPr>
              <w:t>Corporate Vice President</w:t>
            </w:r>
          </w:p>
        </w:tc>
      </w:tr>
    </w:tbl>
    <w:p>
      <w:pPr>
        <w:spacing w:after="0" w:line="395"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NEW YORK LIFE INSURANCE AND ANNUITY</w:t>
      </w:r>
    </w:p>
    <w:p>
      <w:pPr>
        <w:spacing w:after="0" w:line="14"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CORPORATION</w:t>
      </w:r>
    </w:p>
    <w:p>
      <w:pPr>
        <w:spacing w:after="0" w:line="188" w:lineRule="exact"/>
        <w:rPr>
          <w:sz w:val="20"/>
          <w:szCs w:val="20"/>
          <w:color w:val="auto"/>
        </w:rPr>
      </w:pPr>
    </w:p>
    <w:tbl>
      <w:tblPr>
        <w:tblLayout w:type="fixed"/>
        <w:tblInd w:w="3960" w:type="dxa"/>
        <w:tblCellMar>
          <w:top w:w="0" w:type="dxa"/>
          <w:left w:w="0" w:type="dxa"/>
          <w:bottom w:w="0" w:type="dxa"/>
          <w:right w:w="0" w:type="dxa"/>
        </w:tblCellMar>
      </w:tblPr>
      <w:tr>
        <w:trPr>
          <w:trHeight w:val="27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Pr>
          <w:p>
            <w:pPr>
              <w:spacing w:after="0"/>
              <w:rPr>
                <w:sz w:val="20"/>
                <w:szCs w:val="20"/>
                <w:color w:val="auto"/>
              </w:rPr>
            </w:pPr>
            <w:r>
              <w:rPr>
                <w:rFonts w:ascii="Arial" w:cs="Arial" w:eastAsia="Arial" w:hAnsi="Arial"/>
                <w:sz w:val="22"/>
                <w:szCs w:val="22"/>
                <w:color w:val="auto"/>
              </w:rPr>
              <w:t>NYL Investors LLC, its Investment Manager</w:t>
            </w:r>
          </w:p>
        </w:tc>
      </w:tr>
      <w:tr>
        <w:trPr>
          <w:trHeight w:val="449"/>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Andrew Donner</w:t>
            </w:r>
          </w:p>
        </w:tc>
      </w:tr>
      <w:tr>
        <w:trPr>
          <w:trHeight w:val="215"/>
        </w:trPr>
        <w:tc>
          <w:tcPr>
            <w:tcW w:w="10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260" w:type="dxa"/>
            <w:vAlign w:val="bottom"/>
          </w:tcPr>
          <w:p>
            <w:pPr>
              <w:spacing w:after="0" w:line="216" w:lineRule="exact"/>
              <w:rPr>
                <w:sz w:val="20"/>
                <w:szCs w:val="20"/>
                <w:color w:val="auto"/>
              </w:rPr>
            </w:pPr>
            <w:r>
              <w:rPr>
                <w:rFonts w:ascii="Arial" w:cs="Arial" w:eastAsia="Arial" w:hAnsi="Arial"/>
                <w:sz w:val="22"/>
                <w:szCs w:val="22"/>
                <w:color w:val="auto"/>
              </w:rPr>
              <w:t>Andrew Donner</w:t>
            </w:r>
          </w:p>
        </w:tc>
      </w:tr>
      <w:tr>
        <w:trPr>
          <w:trHeight w:val="275"/>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260" w:type="dxa"/>
            <w:vAlign w:val="bottom"/>
          </w:tcPr>
          <w:p>
            <w:pPr>
              <w:spacing w:after="0"/>
              <w:rPr>
                <w:sz w:val="20"/>
                <w:szCs w:val="20"/>
                <w:color w:val="auto"/>
              </w:rPr>
            </w:pPr>
            <w:r>
              <w:rPr>
                <w:rFonts w:ascii="Arial" w:cs="Arial" w:eastAsia="Arial" w:hAnsi="Arial"/>
                <w:sz w:val="22"/>
                <w:szCs w:val="22"/>
                <w:color w:val="auto"/>
              </w:rPr>
              <w:t>Senior Director</w:t>
            </w:r>
          </w:p>
        </w:tc>
      </w:tr>
    </w:tbl>
    <w:p>
      <w:pPr>
        <w:spacing w:after="0" w:line="395" w:lineRule="exact"/>
        <w:rPr>
          <w:sz w:val="20"/>
          <w:szCs w:val="20"/>
          <w:color w:val="auto"/>
        </w:rPr>
      </w:pPr>
    </w:p>
    <w:p>
      <w:pPr>
        <w:ind w:left="3960" w:right="1100"/>
        <w:spacing w:after="0" w:line="243" w:lineRule="auto"/>
        <w:rPr>
          <w:sz w:val="20"/>
          <w:szCs w:val="20"/>
          <w:color w:val="auto"/>
        </w:rPr>
      </w:pPr>
      <w:r>
        <w:rPr>
          <w:rFonts w:ascii="Arial" w:cs="Arial" w:eastAsia="Arial" w:hAnsi="Arial"/>
          <w:sz w:val="22"/>
          <w:szCs w:val="22"/>
          <w:b w:val="1"/>
          <w:bCs w:val="1"/>
          <w:color w:val="auto"/>
        </w:rPr>
        <w:t>NEW YORK LIFE INSURANCE AND ANNUITY CORPORATION INSTITUTIONALLY OWNED LIFE INSURANCE SEPARATE ACCOUNT (BOLI 30C)</w:t>
      </w:r>
    </w:p>
    <w:p>
      <w:pPr>
        <w:spacing w:after="0" w:line="183" w:lineRule="exact"/>
        <w:rPr>
          <w:sz w:val="20"/>
          <w:szCs w:val="20"/>
          <w:color w:val="auto"/>
        </w:rPr>
      </w:pPr>
    </w:p>
    <w:tbl>
      <w:tblPr>
        <w:tblLayout w:type="fixed"/>
        <w:tblInd w:w="3960" w:type="dxa"/>
        <w:tblCellMar>
          <w:top w:w="0" w:type="dxa"/>
          <w:left w:w="0" w:type="dxa"/>
          <w:bottom w:w="0" w:type="dxa"/>
          <w:right w:w="0" w:type="dxa"/>
        </w:tblCellMar>
      </w:tblPr>
      <w:tr>
        <w:trPr>
          <w:trHeight w:val="27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Pr>
          <w:p>
            <w:pPr>
              <w:spacing w:after="0"/>
              <w:rPr>
                <w:sz w:val="20"/>
                <w:szCs w:val="20"/>
                <w:color w:val="auto"/>
              </w:rPr>
            </w:pPr>
            <w:r>
              <w:rPr>
                <w:rFonts w:ascii="Arial" w:cs="Arial" w:eastAsia="Arial" w:hAnsi="Arial"/>
                <w:sz w:val="22"/>
                <w:szCs w:val="22"/>
                <w:color w:val="auto"/>
              </w:rPr>
              <w:t>NYL Investors LLC, its Investment Manager</w:t>
            </w:r>
          </w:p>
        </w:tc>
      </w:tr>
      <w:tr>
        <w:trPr>
          <w:trHeight w:val="449"/>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Andrew Donner</w:t>
            </w:r>
          </w:p>
        </w:tc>
      </w:tr>
      <w:tr>
        <w:trPr>
          <w:trHeight w:val="215"/>
        </w:trPr>
        <w:tc>
          <w:tcPr>
            <w:tcW w:w="10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260" w:type="dxa"/>
            <w:vAlign w:val="bottom"/>
          </w:tcPr>
          <w:p>
            <w:pPr>
              <w:spacing w:after="0" w:line="216" w:lineRule="exact"/>
              <w:rPr>
                <w:sz w:val="20"/>
                <w:szCs w:val="20"/>
                <w:color w:val="auto"/>
              </w:rPr>
            </w:pPr>
            <w:r>
              <w:rPr>
                <w:rFonts w:ascii="Arial" w:cs="Arial" w:eastAsia="Arial" w:hAnsi="Arial"/>
                <w:sz w:val="22"/>
                <w:szCs w:val="22"/>
                <w:color w:val="auto"/>
              </w:rPr>
              <w:t>Andrew Donner</w:t>
            </w:r>
          </w:p>
        </w:tc>
      </w:tr>
      <w:tr>
        <w:trPr>
          <w:trHeight w:val="275"/>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260" w:type="dxa"/>
            <w:vAlign w:val="bottom"/>
          </w:tcPr>
          <w:p>
            <w:pPr>
              <w:spacing w:after="0"/>
              <w:rPr>
                <w:sz w:val="20"/>
                <w:szCs w:val="20"/>
                <w:color w:val="auto"/>
              </w:rPr>
            </w:pPr>
            <w:r>
              <w:rPr>
                <w:rFonts w:ascii="Arial" w:cs="Arial" w:eastAsia="Arial" w:hAnsi="Arial"/>
                <w:sz w:val="22"/>
                <w:szCs w:val="22"/>
                <w:color w:val="auto"/>
              </w:rPr>
              <w:t>Senior Director</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SIGNATURE PAGE TO FIRST AMENDMENT TO</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NOTE PURCHASE AND PRIVATE SHELF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69215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003" w:right="239" w:bottom="1440" w:gutter="0" w:footer="0" w:header="0"/>
        </w:sectPr>
      </w:pPr>
    </w:p>
    <w:bookmarkStart w:id="23" w:name="page24"/>
    <w:bookmarkEnd w:id="23"/>
    <w:p>
      <w:pPr>
        <w:ind w:left="3960" w:right="20"/>
        <w:spacing w:after="0" w:line="234" w:lineRule="auto"/>
        <w:rPr>
          <w:sz w:val="20"/>
          <w:szCs w:val="20"/>
          <w:color w:val="auto"/>
        </w:rPr>
      </w:pPr>
      <w:r>
        <w:rPr>
          <w:rFonts w:ascii="Arial" w:cs="Arial" w:eastAsia="Arial" w:hAnsi="Arial"/>
          <w:sz w:val="22"/>
          <w:szCs w:val="22"/>
          <w:b w:val="1"/>
          <w:bCs w:val="1"/>
          <w:color w:val="auto"/>
        </w:rPr>
        <w:t>THE BANK OF NEW YORK MELLON, A BANKING CORPORATION ORGANIZED UNDER THE LAWS OF NEW YORK, NOT IN ITS INDIVIDUAL CAPACITY BUT SOLELY AS TRUSTEE UNDER THAT CERTAIN TRUST AGREEMENT DATED AS OF JULY 1ST, 2015 BETWEEN NEW YORK LIFE INSURANCE COMPANY, AS GRANTOR, JOHN HANCOCK LIFE INSURANCE COMPANY (U.S.A.), AS BENEFICIARY, JOHN HANCOCK LIFE INSURANCE COMPANY OF NEW YORK, AS BENEFICIARY, AND THE BANK OF NEW YORK MELLON, AS TRUSTEE</w:t>
      </w:r>
    </w:p>
    <w:p>
      <w:pPr>
        <w:spacing w:after="0" w:line="187" w:lineRule="exact"/>
        <w:rPr>
          <w:sz w:val="20"/>
          <w:szCs w:val="20"/>
          <w:color w:val="auto"/>
        </w:rPr>
      </w:pPr>
    </w:p>
    <w:tbl>
      <w:tblPr>
        <w:tblLayout w:type="fixed"/>
        <w:tblInd w:w="3960" w:type="dxa"/>
        <w:tblCellMar>
          <w:top w:w="0" w:type="dxa"/>
          <w:left w:w="0" w:type="dxa"/>
          <w:bottom w:w="0" w:type="dxa"/>
          <w:right w:w="0" w:type="dxa"/>
        </w:tblCellMar>
      </w:tblPr>
      <w:tr>
        <w:trPr>
          <w:trHeight w:val="27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Pr>
          <w:p>
            <w:pPr>
              <w:spacing w:after="0"/>
              <w:rPr>
                <w:sz w:val="20"/>
                <w:szCs w:val="20"/>
                <w:color w:val="auto"/>
              </w:rPr>
            </w:pPr>
            <w:r>
              <w:rPr>
                <w:rFonts w:ascii="Arial" w:cs="Arial" w:eastAsia="Arial" w:hAnsi="Arial"/>
                <w:sz w:val="22"/>
                <w:szCs w:val="22"/>
                <w:color w:val="auto"/>
                <w:w w:val="99"/>
              </w:rPr>
              <w:t>New York Life Insurance Company, its attorney-in-fact</w:t>
            </w:r>
          </w:p>
        </w:tc>
      </w:tr>
      <w:tr>
        <w:trPr>
          <w:trHeight w:val="449"/>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Andrew Donner</w:t>
            </w:r>
          </w:p>
        </w:tc>
      </w:tr>
      <w:tr>
        <w:trPr>
          <w:trHeight w:val="215"/>
        </w:trPr>
        <w:tc>
          <w:tcPr>
            <w:tcW w:w="10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260" w:type="dxa"/>
            <w:vAlign w:val="bottom"/>
          </w:tcPr>
          <w:p>
            <w:pPr>
              <w:spacing w:after="0" w:line="216" w:lineRule="exact"/>
              <w:rPr>
                <w:sz w:val="20"/>
                <w:szCs w:val="20"/>
                <w:color w:val="auto"/>
              </w:rPr>
            </w:pPr>
            <w:r>
              <w:rPr>
                <w:rFonts w:ascii="Arial" w:cs="Arial" w:eastAsia="Arial" w:hAnsi="Arial"/>
                <w:sz w:val="22"/>
                <w:szCs w:val="22"/>
                <w:color w:val="auto"/>
              </w:rPr>
              <w:t>Andrew Donner</w:t>
            </w:r>
          </w:p>
        </w:tc>
      </w:tr>
      <w:tr>
        <w:trPr>
          <w:trHeight w:val="275"/>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260" w:type="dxa"/>
            <w:vAlign w:val="bottom"/>
          </w:tcPr>
          <w:p>
            <w:pPr>
              <w:spacing w:after="0"/>
              <w:rPr>
                <w:sz w:val="20"/>
                <w:szCs w:val="20"/>
                <w:color w:val="auto"/>
              </w:rPr>
            </w:pPr>
            <w:r>
              <w:rPr>
                <w:rFonts w:ascii="Arial" w:cs="Arial" w:eastAsia="Arial" w:hAnsi="Arial"/>
                <w:sz w:val="22"/>
                <w:szCs w:val="22"/>
                <w:color w:val="auto"/>
              </w:rPr>
              <w:t>Corporate Vice President</w:t>
            </w:r>
          </w:p>
        </w:tc>
      </w:tr>
      <w:tr>
        <w:trPr>
          <w:trHeight w:val="675"/>
        </w:trPr>
        <w:tc>
          <w:tcPr>
            <w:tcW w:w="6260" w:type="dxa"/>
            <w:vAlign w:val="bottom"/>
            <w:gridSpan w:val="2"/>
          </w:tcPr>
          <w:p>
            <w:pPr>
              <w:spacing w:after="0"/>
              <w:rPr>
                <w:sz w:val="20"/>
                <w:szCs w:val="20"/>
                <w:color w:val="auto"/>
              </w:rPr>
            </w:pPr>
            <w:r>
              <w:rPr>
                <w:rFonts w:ascii="Arial" w:cs="Arial" w:eastAsia="Arial" w:hAnsi="Arial"/>
                <w:sz w:val="22"/>
                <w:szCs w:val="22"/>
                <w:b w:val="1"/>
                <w:bCs w:val="1"/>
                <w:color w:val="auto"/>
              </w:rPr>
              <w:t>COMPSOURCE MUTUAL INSURANCE COMPANY</w:t>
            </w:r>
          </w:p>
        </w:tc>
      </w:tr>
      <w:tr>
        <w:trPr>
          <w:trHeight w:val="459"/>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Pr>
          <w:p>
            <w:pPr>
              <w:spacing w:after="0"/>
              <w:rPr>
                <w:sz w:val="20"/>
                <w:szCs w:val="20"/>
                <w:color w:val="auto"/>
              </w:rPr>
            </w:pPr>
            <w:r>
              <w:rPr>
                <w:rFonts w:ascii="Arial" w:cs="Arial" w:eastAsia="Arial" w:hAnsi="Arial"/>
                <w:sz w:val="22"/>
                <w:szCs w:val="22"/>
                <w:color w:val="auto"/>
              </w:rPr>
              <w:t>NYL Investors LLC, its Investment Manager</w:t>
            </w:r>
          </w:p>
        </w:tc>
      </w:tr>
      <w:tr>
        <w:trPr>
          <w:trHeight w:val="449"/>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Andrew Donner</w:t>
            </w:r>
          </w:p>
        </w:tc>
      </w:tr>
      <w:tr>
        <w:trPr>
          <w:trHeight w:val="215"/>
        </w:trPr>
        <w:tc>
          <w:tcPr>
            <w:tcW w:w="10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260" w:type="dxa"/>
            <w:vAlign w:val="bottom"/>
          </w:tcPr>
          <w:p>
            <w:pPr>
              <w:spacing w:after="0" w:line="216" w:lineRule="exact"/>
              <w:rPr>
                <w:sz w:val="20"/>
                <w:szCs w:val="20"/>
                <w:color w:val="auto"/>
              </w:rPr>
            </w:pPr>
            <w:r>
              <w:rPr>
                <w:rFonts w:ascii="Arial" w:cs="Arial" w:eastAsia="Arial" w:hAnsi="Arial"/>
                <w:sz w:val="22"/>
                <w:szCs w:val="22"/>
                <w:color w:val="auto"/>
              </w:rPr>
              <w:t>Andrew Donner</w:t>
            </w:r>
          </w:p>
        </w:tc>
      </w:tr>
      <w:tr>
        <w:trPr>
          <w:trHeight w:val="275"/>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260" w:type="dxa"/>
            <w:vAlign w:val="bottom"/>
          </w:tcPr>
          <w:p>
            <w:pPr>
              <w:spacing w:after="0"/>
              <w:rPr>
                <w:sz w:val="20"/>
                <w:szCs w:val="20"/>
                <w:color w:val="auto"/>
              </w:rPr>
            </w:pPr>
            <w:r>
              <w:rPr>
                <w:rFonts w:ascii="Arial" w:cs="Arial" w:eastAsia="Arial" w:hAnsi="Arial"/>
                <w:sz w:val="22"/>
                <w:szCs w:val="22"/>
                <w:color w:val="auto"/>
              </w:rPr>
              <w:t>Senior Director</w:t>
            </w:r>
          </w:p>
        </w:tc>
      </w:tr>
    </w:tbl>
    <w:p>
      <w:pPr>
        <w:spacing w:after="0" w:line="395" w:lineRule="exact"/>
        <w:rPr>
          <w:sz w:val="20"/>
          <w:szCs w:val="20"/>
          <w:color w:val="auto"/>
        </w:rPr>
      </w:pPr>
    </w:p>
    <w:p>
      <w:pPr>
        <w:ind w:left="3960" w:right="1100"/>
        <w:spacing w:after="0" w:line="243" w:lineRule="auto"/>
        <w:rPr>
          <w:sz w:val="20"/>
          <w:szCs w:val="20"/>
          <w:color w:val="auto"/>
        </w:rPr>
      </w:pPr>
      <w:r>
        <w:rPr>
          <w:rFonts w:ascii="Arial" w:cs="Arial" w:eastAsia="Arial" w:hAnsi="Arial"/>
          <w:sz w:val="22"/>
          <w:szCs w:val="22"/>
          <w:b w:val="1"/>
          <w:bCs w:val="1"/>
          <w:color w:val="auto"/>
        </w:rPr>
        <w:t>NEW YORK LIFE INSURANCE AND ANNUITY CORPORATION INSTITUTIONALLY OWNED LIFE INSURANCE SEPARATE ACCOUNT (BOLI 30E)</w:t>
      </w:r>
    </w:p>
    <w:p>
      <w:pPr>
        <w:spacing w:after="0" w:line="183" w:lineRule="exact"/>
        <w:rPr>
          <w:sz w:val="20"/>
          <w:szCs w:val="20"/>
          <w:color w:val="auto"/>
        </w:rPr>
      </w:pPr>
    </w:p>
    <w:tbl>
      <w:tblPr>
        <w:tblLayout w:type="fixed"/>
        <w:tblInd w:w="3960" w:type="dxa"/>
        <w:tblCellMar>
          <w:top w:w="0" w:type="dxa"/>
          <w:left w:w="0" w:type="dxa"/>
          <w:bottom w:w="0" w:type="dxa"/>
          <w:right w:w="0" w:type="dxa"/>
        </w:tblCellMar>
      </w:tblPr>
      <w:tr>
        <w:trPr>
          <w:trHeight w:val="27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Pr>
          <w:p>
            <w:pPr>
              <w:spacing w:after="0"/>
              <w:rPr>
                <w:sz w:val="20"/>
                <w:szCs w:val="20"/>
                <w:color w:val="auto"/>
              </w:rPr>
            </w:pPr>
            <w:r>
              <w:rPr>
                <w:rFonts w:ascii="Arial" w:cs="Arial" w:eastAsia="Arial" w:hAnsi="Arial"/>
                <w:sz w:val="22"/>
                <w:szCs w:val="22"/>
                <w:color w:val="auto"/>
              </w:rPr>
              <w:t>NYL Investors LLC, its Investment Manager</w:t>
            </w:r>
          </w:p>
        </w:tc>
      </w:tr>
      <w:tr>
        <w:trPr>
          <w:trHeight w:val="449"/>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Andrew Donner</w:t>
            </w:r>
          </w:p>
        </w:tc>
      </w:tr>
      <w:tr>
        <w:trPr>
          <w:trHeight w:val="215"/>
        </w:trPr>
        <w:tc>
          <w:tcPr>
            <w:tcW w:w="10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260" w:type="dxa"/>
            <w:vAlign w:val="bottom"/>
          </w:tcPr>
          <w:p>
            <w:pPr>
              <w:spacing w:after="0" w:line="216" w:lineRule="exact"/>
              <w:rPr>
                <w:sz w:val="20"/>
                <w:szCs w:val="20"/>
                <w:color w:val="auto"/>
              </w:rPr>
            </w:pPr>
            <w:r>
              <w:rPr>
                <w:rFonts w:ascii="Arial" w:cs="Arial" w:eastAsia="Arial" w:hAnsi="Arial"/>
                <w:sz w:val="22"/>
                <w:szCs w:val="22"/>
                <w:color w:val="auto"/>
              </w:rPr>
              <w:t>Andrew Donner</w:t>
            </w:r>
          </w:p>
        </w:tc>
      </w:tr>
      <w:tr>
        <w:trPr>
          <w:trHeight w:val="275"/>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260" w:type="dxa"/>
            <w:vAlign w:val="bottom"/>
          </w:tcPr>
          <w:p>
            <w:pPr>
              <w:spacing w:after="0"/>
              <w:rPr>
                <w:sz w:val="20"/>
                <w:szCs w:val="20"/>
                <w:color w:val="auto"/>
              </w:rPr>
            </w:pPr>
            <w:r>
              <w:rPr>
                <w:rFonts w:ascii="Arial" w:cs="Arial" w:eastAsia="Arial" w:hAnsi="Arial"/>
                <w:sz w:val="22"/>
                <w:szCs w:val="22"/>
                <w:color w:val="auto"/>
              </w:rPr>
              <w:t>Senior Director</w:t>
            </w:r>
          </w:p>
        </w:tc>
      </w:tr>
    </w:tbl>
    <w:p>
      <w:pPr>
        <w:spacing w:after="0" w:line="200" w:lineRule="exact"/>
        <w:rPr>
          <w:sz w:val="20"/>
          <w:szCs w:val="20"/>
          <w:color w:val="auto"/>
        </w:rPr>
      </w:pPr>
    </w:p>
    <w:p>
      <w:pPr>
        <w:spacing w:after="0" w:line="20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SIGNATURE PAGE TO FIRST AMENDMENT TO</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NOTE PURCHASE AND PRIVATE SHELF AGREEMENT</w:t>
      </w:r>
    </w:p>
    <w:sectPr>
      <w:pgSz w:w="11900" w:h="16838" w:orient="portrait"/>
      <w:cols w:equalWidth="0" w:num="1">
        <w:col w:w="10220"/>
      </w:cols>
      <w:pgMar w:left="14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lowerLetter"/>
      <w:start w:val="1"/>
    </w:lvl>
  </w:abstractNum>
  <w:abstractNum w:abstractNumId="3">
    <w:nsid w:val="6763845E"/>
    <w:multiLevelType w:val="hybridMultilevel"/>
    <w:lvl w:ilvl="0">
      <w:lvlJc w:val="left"/>
      <w:lvlText w:val="(%1)"/>
      <w:numFmt w:val="lowerLetter"/>
      <w:start w:val="2"/>
    </w:lvl>
  </w:abstractNum>
  <w:abstractNum w:abstractNumId="4">
    <w:nsid w:val="75A2A8D4"/>
    <w:multiLevelType w:val="hybridMultilevel"/>
    <w:lvl w:ilvl="0">
      <w:lvlJc w:val="left"/>
      <w:lvlText w:val="(%1)"/>
      <w:numFmt w:val="lowerRoman"/>
      <w:start w:val="1"/>
    </w:lvl>
  </w:abstractNum>
  <w:abstractNum w:abstractNumId="5">
    <w:nsid w:val="8EDBDAB"/>
    <w:multiLevelType w:val="hybridMultilevel"/>
    <w:lvl w:ilvl="0">
      <w:lvlJc w:val="left"/>
      <w:lvlText w:val="(%1)"/>
      <w:numFmt w:val="lowerLetter"/>
      <w:start w:val="3"/>
    </w:lvl>
  </w:abstractNum>
  <w:abstractNum w:abstractNumId="6">
    <w:nsid w:val="79838CB2"/>
    <w:multiLevelType w:val="hybridMultilevel"/>
    <w:lvl w:ilvl="0">
      <w:lvlJc w:val="left"/>
      <w:lvlText w:val="(%1)"/>
      <w:numFmt w:val="lowerRoman"/>
      <w:start w:val="3"/>
    </w:lvl>
  </w:abstractNum>
  <w:abstractNum w:abstractNumId="7">
    <w:nsid w:val="4353D0CD"/>
    <w:multiLevelType w:val="hybridMultilevel"/>
    <w:lvl w:ilvl="0">
      <w:lvlJc w:val="left"/>
      <w:lvlText w:val="%1"/>
      <w:numFmt w:val="lowerLetter"/>
      <w:start w:val="1"/>
    </w:lvl>
    <w:lvl w:ilvl="1">
      <w:lvlJc w:val="left"/>
      <w:lvlText w:val="(%2)"/>
      <w:numFmt w:val="lowerRoman"/>
      <w:start w:val="6"/>
    </w:lvl>
  </w:abstractNum>
  <w:abstractNum w:abstractNumId="8">
    <w:nsid w:val="B03E0C6"/>
    <w:multiLevelType w:val="hybridMultilevel"/>
    <w:lvl w:ilvl="0">
      <w:lvlJc w:val="left"/>
      <w:lvlText w:val="(%1)"/>
      <w:numFmt w:val="lowerLetter"/>
      <w:start w:val="4"/>
    </w:lvl>
    <w:lvl w:ilvl="1">
      <w:lvlJc w:val="left"/>
      <w:lvlText w:val="(%2)"/>
      <w:numFmt w:val="lowerRoman"/>
      <w:start w:val="5"/>
    </w:lvl>
  </w:abstractNum>
  <w:abstractNum w:abstractNumId="9">
    <w:nsid w:val="189A769B"/>
    <w:multiLevelType w:val="hybridMultilevel"/>
    <w:lvl w:ilvl="0">
      <w:lvlJc w:val="left"/>
      <w:lvlText w:val="%1"/>
      <w:numFmt w:val="lowerLetter"/>
      <w:start w:val="1"/>
    </w:lvl>
    <w:lvl w:ilvl="1">
      <w:lvlJc w:val="left"/>
      <w:lvlText w:val="(%2)"/>
      <w:numFmt w:val="lowerLetter"/>
      <w:start w:val="24"/>
    </w:lvl>
  </w:abstractNum>
  <w:abstractNum w:abstractNumId="10">
    <w:nsid w:val="54E49EB4"/>
    <w:multiLevelType w:val="hybridMultilevel"/>
    <w:lvl w:ilvl="0">
      <w:lvlJc w:val="left"/>
      <w:lvlText w:val="(%1)"/>
      <w:numFmt w:val="lowerLetter"/>
      <w:start w:val="5"/>
    </w:lvl>
    <w:lvl w:ilvl="1">
      <w:lvlJc w:val="left"/>
      <w:lvlText w:val="%2"/>
      <w:numFmt w:val="lowerLetter"/>
      <w:start w:val="1"/>
    </w:lvl>
  </w:abstractNum>
  <w:abstractNum w:abstractNumId="11">
    <w:nsid w:val="71F32454"/>
    <w:multiLevelType w:val="hybridMultilevel"/>
    <w:lvl w:ilvl="0">
      <w:lvlJc w:val="left"/>
      <w:lvlText w:val="(%1)"/>
      <w:numFmt w:val="lowerRoman"/>
      <w:start w:val="2"/>
    </w:lvl>
  </w:abstractNum>
  <w:abstractNum w:abstractNumId="12">
    <w:nsid w:val="2CA88611"/>
    <w:multiLevelType w:val="hybridMultilevel"/>
    <w:lvl w:ilvl="0">
      <w:lvlJc w:val="left"/>
      <w:lvlText w:val="(%1)"/>
      <w:numFmt w:val="lowerLetter"/>
      <w:start w:val="6"/>
    </w:lvl>
  </w:abstractNum>
  <w:abstractNum w:abstractNumId="13">
    <w:nsid w:val="836C40E"/>
    <w:multiLevelType w:val="hybridMultilevel"/>
    <w:lvl w:ilvl="0">
      <w:lvlJc w:val="left"/>
      <w:lvlText w:val="(%1)"/>
      <w:numFmt w:val="lowerLetter"/>
      <w:start w:val="7"/>
    </w:lvl>
  </w:abstractNum>
  <w:abstractNum w:abstractNumId="14">
    <w:nsid w:val="2901D82"/>
    <w:multiLevelType w:val="hybridMultilevel"/>
    <w:lvl w:ilvl="0">
      <w:lvlJc w:val="left"/>
      <w:lvlText w:val="(%1)"/>
      <w:numFmt w:val="lowerLetter"/>
      <w:start w:val="8"/>
    </w:lvl>
  </w:abstractNum>
  <w:abstractNum w:abstractNumId="15">
    <w:nsid w:val="3A95F874"/>
    <w:multiLevelType w:val="hybridMultilevel"/>
    <w:lvl w:ilvl="0">
      <w:lvlJc w:val="left"/>
      <w:lvlText w:val="%1."/>
      <w:numFmt w:val="decimal"/>
      <w:start w:val="2"/>
    </w:lvl>
  </w:abstractNum>
  <w:abstractNum w:abstractNumId="16">
    <w:nsid w:val="8138641"/>
    <w:multiLevelType w:val="hybridMultilevel"/>
    <w:lvl w:ilvl="0">
      <w:lvlJc w:val="left"/>
      <w:lvlText w:val="(%1)"/>
      <w:numFmt w:val="lowerLetter"/>
      <w:start w:val="1"/>
    </w:lvl>
  </w:abstractNum>
  <w:abstractNum w:abstractNumId="17">
    <w:nsid w:val="1E7FF521"/>
    <w:multiLevelType w:val="hybridMultilevel"/>
    <w:lvl w:ilvl="0">
      <w:lvlJc w:val="left"/>
      <w:lvlText w:val="%1."/>
      <w:numFmt w:val="decimal"/>
      <w:start w:val="3"/>
    </w:lvl>
  </w:abstractNum>
  <w:abstractNum w:abstractNumId="18">
    <w:nsid w:val="7C3DBD3D"/>
    <w:multiLevelType w:val="hybridMultilevel"/>
    <w:lvl w:ilvl="0">
      <w:lvlJc w:val="left"/>
      <w:lvlText w:val="(%1)"/>
      <w:numFmt w:val="lowerLetter"/>
      <w:start w:val="1"/>
    </w:lvl>
  </w:abstractNum>
  <w:abstractNum w:abstractNumId="19">
    <w:nsid w:val="737B8DDC"/>
    <w:multiLevelType w:val="hybridMultilevel"/>
    <w:lvl w:ilvl="0">
      <w:lvlJc w:val="left"/>
      <w:lvlText w:val="%1."/>
      <w:numFmt w:val="decimal"/>
      <w:start w:val="4"/>
    </w:lvl>
  </w:abstractNum>
  <w:abstractNum w:abstractNumId="20">
    <w:nsid w:val="6CEAF087"/>
    <w:multiLevelType w:val="hybridMultilevel"/>
    <w:lvl w:ilvl="0">
      <w:lvlJc w:val="left"/>
      <w:lvlText w:val="%1."/>
      <w:numFmt w:val="decimal"/>
      <w:start w:val="5"/>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bullet"/>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lowerLetter"/>
      <w:start w:val="1"/>
    </w:lvl>
  </w:abstractNum>
  <w:abstractNum w:abstractNumId="26">
    <w:nsid w:val="5577F8E1"/>
    <w:multiLevelType w:val="hybridMultilevel"/>
    <w:lvl w:ilvl="0">
      <w:lvlJc w:val="left"/>
      <w:lvlText w:val="(%1)"/>
      <w:numFmt w:val="lowerLetter"/>
      <w:start w:val="2"/>
    </w:lvl>
  </w:abstractNum>
  <w:abstractNum w:abstractNumId="27">
    <w:nsid w:val="440BADFC"/>
    <w:multiLevelType w:val="hybridMultilevel"/>
    <w:lvl w:ilvl="0">
      <w:lvlJc w:val="left"/>
      <w:lvlText w:val="(%1)"/>
      <w:numFmt w:val="lowerRoman"/>
      <w:start w:val="1"/>
    </w:lvl>
  </w:abstractNum>
  <w:abstractNum w:abstractNumId="28">
    <w:nsid w:val="5072367"/>
    <w:multiLevelType w:val="hybridMultilevel"/>
    <w:lvl w:ilvl="0">
      <w:lvlJc w:val="left"/>
      <w:lvlText w:val="(%1)"/>
      <w:numFmt w:val="lowerLetter"/>
      <w:start w:val="3"/>
    </w:lvl>
  </w:abstractNum>
  <w:abstractNum w:abstractNumId="29">
    <w:nsid w:val="3804823E"/>
    <w:multiLevelType w:val="hybridMultilevel"/>
    <w:lvl w:ilvl="0">
      <w:lvlJc w:val="left"/>
      <w:lvlText w:val="(%1)"/>
      <w:numFmt w:val="lowerRoman"/>
      <w:start w:val="3"/>
    </w:lvl>
  </w:abstractNum>
  <w:abstractNum w:abstractNumId="30">
    <w:nsid w:val="77465F01"/>
    <w:multiLevelType w:val="hybridMultilevel"/>
    <w:lvl w:ilvl="0">
      <w:lvlJc w:val="left"/>
      <w:lvlText w:val="%1"/>
      <w:numFmt w:val="lowerLetter"/>
      <w:start w:val="1"/>
    </w:lvl>
    <w:lvl w:ilvl="1">
      <w:lvlJc w:val="left"/>
      <w:lvlText w:val="(%2)"/>
      <w:numFmt w:val="lowerRoman"/>
      <w:start w:val="6"/>
    </w:lvl>
  </w:abstractNum>
  <w:abstractNum w:abstractNumId="31">
    <w:nsid w:val="7724C67E"/>
    <w:multiLevelType w:val="hybridMultilevel"/>
    <w:lvl w:ilvl="0">
      <w:lvlJc w:val="left"/>
      <w:lvlText w:val="(%1)"/>
      <w:numFmt w:val="lowerLetter"/>
      <w:start w:val="4"/>
    </w:lvl>
    <w:lvl w:ilvl="1">
      <w:lvlJc w:val="left"/>
      <w:lvlText w:val="(%2)"/>
      <w:numFmt w:val="lowerRoman"/>
      <w:start w:val="5"/>
    </w:lvl>
  </w:abstractNum>
  <w:abstractNum w:abstractNumId="32">
    <w:nsid w:val="5C482A97"/>
    <w:multiLevelType w:val="hybridMultilevel"/>
    <w:lvl w:ilvl="0">
      <w:lvlJc w:val="left"/>
      <w:lvlText w:val="%1"/>
      <w:numFmt w:val="lowerLetter"/>
      <w:start w:val="1"/>
    </w:lvl>
    <w:lvl w:ilvl="1">
      <w:lvlJc w:val="left"/>
      <w:lvlText w:val="(%2)"/>
      <w:numFmt w:val="lowerLetter"/>
      <w:start w:val="24"/>
    </w:lvl>
  </w:abstractNum>
  <w:abstractNum w:abstractNumId="33">
    <w:nsid w:val="2463B9EA"/>
    <w:multiLevelType w:val="hybridMultilevel"/>
    <w:lvl w:ilvl="0">
      <w:lvlJc w:val="left"/>
      <w:lvlText w:val="(%1)"/>
      <w:numFmt w:val="lowerLetter"/>
      <w:start w:val="5"/>
    </w:lvl>
    <w:lvl w:ilvl="1">
      <w:lvlJc w:val="left"/>
      <w:lvlText w:val="%2"/>
      <w:numFmt w:val="lowerLetter"/>
      <w:start w:val="1"/>
    </w:lvl>
  </w:abstractNum>
  <w:abstractNum w:abstractNumId="34">
    <w:nsid w:val="5E884ADC"/>
    <w:multiLevelType w:val="hybridMultilevel"/>
    <w:lvl w:ilvl="0">
      <w:lvlJc w:val="left"/>
      <w:lvlText w:val="(%1)"/>
      <w:numFmt w:val="lowerRoman"/>
      <w:start w:val="2"/>
    </w:lvl>
  </w:abstractNum>
  <w:abstractNum w:abstractNumId="35">
    <w:nsid w:val="51EAD36B"/>
    <w:multiLevelType w:val="hybridMultilevel"/>
    <w:lvl w:ilvl="0">
      <w:lvlJc w:val="left"/>
      <w:lvlText w:val="(%1)"/>
      <w:numFmt w:val="lowerLetter"/>
      <w:start w:val="6"/>
    </w:lvl>
  </w:abstractNum>
  <w:abstractNum w:abstractNumId="36">
    <w:nsid w:val="2D517796"/>
    <w:multiLevelType w:val="hybridMultilevel"/>
    <w:lvl w:ilvl="0">
      <w:lvlJc w:val="left"/>
      <w:lvlText w:val="(%1)"/>
      <w:numFmt w:val="lowerLetter"/>
      <w:start w:val="7"/>
    </w:lvl>
  </w:abstractNum>
  <w:abstractNum w:abstractNumId="37">
    <w:nsid w:val="580BD78F"/>
    <w:multiLevelType w:val="hybridMultilevel"/>
    <w:lvl w:ilvl="0">
      <w:lvlJc w:val="left"/>
      <w:lvlText w:val="%1."/>
      <w:numFmt w:val="decimal"/>
      <w:start w:val="2"/>
    </w:lvl>
    <w:lvl w:ilvl="1">
      <w:lvlJc w:val="left"/>
      <w:lvlText w:val="(%2)"/>
      <w:numFmt w:val="lowerLetter"/>
      <w:start w:val="1"/>
    </w:lvl>
  </w:abstractNum>
  <w:abstractNum w:abstractNumId="38">
    <w:nsid w:val="153EA438"/>
    <w:multiLevelType w:val="hybridMultilevel"/>
    <w:lvl w:ilvl="0">
      <w:lvlJc w:val="left"/>
      <w:lvlText w:val="%1"/>
      <w:numFmt w:val="decimal"/>
      <w:start w:val="1"/>
    </w:lvl>
    <w:lvl w:ilvl="1">
      <w:lvlJc w:val="left"/>
      <w:lvlText w:val="(%2)"/>
      <w:numFmt w:val="lowerLetter"/>
      <w:start w:val="2"/>
    </w:lvl>
  </w:abstractNum>
  <w:abstractNum w:abstractNumId="39">
    <w:nsid w:val="3855585C"/>
    <w:multiLevelType w:val="hybridMultilevel"/>
    <w:lvl w:ilvl="0">
      <w:lvlJc w:val="left"/>
      <w:lvlText w:val="%1."/>
      <w:numFmt w:val="decimal"/>
      <w:start w:val="3"/>
    </w:lvl>
    <w:lvl w:ilvl="1">
      <w:lvlJc w:val="left"/>
      <w:lvlText w:val="%2"/>
      <w:numFmt w:val="lowerLetter"/>
      <w:start w:val="1"/>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decimal"/>
      <w:start w:val="4"/>
    </w:lvl>
  </w:abstractNum>
  <w:abstractNum w:abstractNumId="42">
    <w:nsid w:val="2A487CB0"/>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2019-12-28T20:54:11Z</dcterms:created>
  <dcterms:modified xsi:type="dcterms:W3CDTF">2019-12-28T20:54:11Z</dcterms:modified>
</cp:coreProperties>
</file>